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_rels/chart2.xml.rels" ContentType="application/vnd.openxmlformats-package.relationships+xml"/>
  <Override PartName="/word/fontTable.xml" ContentType="application/vnd.openxmlformats-officedocument.wordprocessingml.fontTable+xml"/>
  <Override PartName="/word/media/image1.jpeg" ContentType="image/jpeg"/>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embeddings/Microsoft_Excel_Worksheet.xlsx" ContentType="application/vnd.openxmlformats-officedocument.spreadsheetml.sheet"/>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ind w:firstLine="709"/>
        <w:contextualSpacing/>
        <w:jc w:val="both"/>
        <w:rPr>
          <w:rFonts w:ascii="Times New Roman" w:hAnsi="Times New Roman" w:cs="Times New Roman"/>
          <w:sz w:val="28"/>
          <w:szCs w:val="28"/>
        </w:rPr>
      </w:pPr>
      <w:bookmarkStart w:id="0" w:name="_Hlk106388648"/>
      <w:r>
        <w:rPr>
          <w:rFonts w:cs="Times New Roman" w:ascii="Times New Roman" w:hAnsi="Times New Roman"/>
          <w:sz w:val="28"/>
          <w:szCs w:val="28"/>
        </w:rPr>
        <w:t>УДК 637.1</w:t>
      </w:r>
    </w:p>
    <w:p>
      <w:pPr>
        <w:pStyle w:val="Normal"/>
        <w:spacing w:lineRule="auto" w:line="360" w:before="0" w:after="0"/>
        <w:ind w:firstLine="709"/>
        <w:contextualSpacing/>
        <w:jc w:val="center"/>
        <w:rPr>
          <w:rFonts w:ascii="Times New Roman" w:hAnsi="Times New Roman" w:cs="Times New Roman"/>
          <w:b/>
          <w:b/>
          <w:bCs/>
          <w:sz w:val="28"/>
          <w:szCs w:val="28"/>
        </w:rPr>
      </w:pPr>
      <w:r>
        <w:rPr>
          <w:rFonts w:cs="Times New Roman" w:ascii="Times New Roman" w:hAnsi="Times New Roman"/>
          <w:b/>
          <w:bCs/>
          <w:sz w:val="28"/>
          <w:szCs w:val="28"/>
        </w:rPr>
        <w:t>Разработка технологии высокобелкового молочного напитка с ячменем</w:t>
      </w:r>
    </w:p>
    <w:p>
      <w:pPr>
        <w:pStyle w:val="Normal"/>
        <w:spacing w:lineRule="auto" w:line="360" w:before="0" w:after="0"/>
        <w:ind w:firstLine="709"/>
        <w:contextualSpacing/>
        <w:jc w:val="both"/>
        <w:rPr>
          <w:rFonts w:ascii="Times New Roman" w:hAnsi="Times New Roman" w:eastAsia="Calibri" w:cs="Times New Roman"/>
          <w:sz w:val="28"/>
          <w:szCs w:val="28"/>
        </w:rPr>
      </w:pPr>
      <w:r>
        <w:rPr>
          <w:rFonts w:cs="Times New Roman" w:ascii="Times New Roman" w:hAnsi="Times New Roman"/>
          <w:sz w:val="28"/>
          <w:szCs w:val="28"/>
        </w:rPr>
        <w:t xml:space="preserve">Сочетание молочного и растительного сырья позволяет обогатить продукты витаминами, минеральными веществами, пищевыми волокнами и различными минорными соединениями. Также введение растительных ингредиентов в молочное сырье способствует разнообразию ассортимента и, кроме того, может быть полезным в технологическом плане, например, для стабилизации молочной дисперсии. В работе использовано сухое обезжиренное молоко и порошок ячменя с целью разработки высокобелкового молочного напитка – заменителя кофе. Исследованы органолептические, физико-химические, микробиологические показатели. В трех вариантах напитка, содержащих по 18 % сухого обезжиренного молока и по 6,5 %, 7,0 % и 7,5 % порошка ячменя, массовая доля белка составила, соответственно, </w:t>
      </w:r>
      <w:r>
        <w:rPr>
          <w:rFonts w:eastAsia="Calibri" w:cs="Times New Roman" w:ascii="Times New Roman" w:hAnsi="Times New Roman"/>
          <w:bCs/>
          <w:sz w:val="28"/>
          <w:szCs w:val="28"/>
        </w:rPr>
        <w:t>7,75 %, 7,80 % и 7,85 %</w:t>
      </w:r>
      <w:r>
        <w:rPr>
          <w:rFonts w:cs="Times New Roman" w:ascii="Times New Roman" w:hAnsi="Times New Roman"/>
          <w:sz w:val="28"/>
          <w:szCs w:val="28"/>
        </w:rPr>
        <w:t xml:space="preserve">, что соответствует определению «с высоким содержанием белка». </w:t>
      </w:r>
      <w:r>
        <w:rPr>
          <w:rFonts w:eastAsia="Calibri" w:cs="Times New Roman" w:ascii="Times New Roman" w:hAnsi="Times New Roman"/>
          <w:sz w:val="28"/>
          <w:szCs w:val="28"/>
        </w:rPr>
        <w:t xml:space="preserve">Сразу после выработки все образцы имели активную кислотность, характерную для свежего молока; по мере хранения во всех образцах наблюдалось снижение активной кислотности. Вязкость опытных образцов при хранении молока повышалась, что связано с коллоидными свойствами молочных белков и полисахаридов ячменного порошка. Наблюдаемое увеличение вязкости было благоприятно для консистенции продукта, которая сохраняла текучесть и однородность. Количество микроорганизмов во всех образцах после 19 суток хранения при </w:t>
      </w:r>
      <w:r>
        <w:rPr>
          <w:rFonts w:cs="Times New Roman" w:ascii="Times New Roman" w:hAnsi="Times New Roman"/>
          <w:sz w:val="28"/>
          <w:szCs w:val="28"/>
        </w:rPr>
        <w:t>(4±2) °С</w:t>
      </w:r>
      <w:r>
        <w:rPr>
          <w:rFonts w:eastAsia="Calibri" w:cs="Times New Roman" w:ascii="Times New Roman" w:hAnsi="Times New Roman"/>
          <w:sz w:val="28"/>
          <w:szCs w:val="28"/>
        </w:rPr>
        <w:t xml:space="preserve"> увеличилось на порядок, но не превышало допустимый </w:t>
      </w:r>
      <w:r>
        <w:rPr>
          <w:rFonts w:cs="Times New Roman" w:ascii="Times New Roman" w:hAnsi="Times New Roman"/>
          <w:sz w:val="28"/>
          <w:szCs w:val="28"/>
          <w:lang w:eastAsia="ru-RU"/>
        </w:rPr>
        <w:t xml:space="preserve">Таможенным законодательством норматив – </w:t>
      </w:r>
      <w:r>
        <w:rPr>
          <w:rFonts w:cs="Times New Roman" w:ascii="Times New Roman" w:hAnsi="Times New Roman"/>
          <w:sz w:val="28"/>
          <w:szCs w:val="28"/>
        </w:rPr>
        <w:t>1×10</w:t>
      </w:r>
      <w:r>
        <w:rPr>
          <w:rFonts w:cs="Times New Roman" w:ascii="Times New Roman" w:hAnsi="Times New Roman"/>
          <w:sz w:val="28"/>
          <w:szCs w:val="28"/>
          <w:vertAlign w:val="superscript"/>
        </w:rPr>
        <w:t xml:space="preserve">5 </w:t>
      </w:r>
      <w:r>
        <w:rPr>
          <w:rFonts w:cs="Times New Roman" w:ascii="Times New Roman" w:hAnsi="Times New Roman"/>
          <w:sz w:val="28"/>
          <w:szCs w:val="28"/>
        </w:rPr>
        <w:t>КОЕ/см</w:t>
      </w:r>
      <w:r>
        <w:rPr>
          <w:rFonts w:cs="Times New Roman" w:ascii="Times New Roman" w:hAnsi="Times New Roman"/>
          <w:sz w:val="28"/>
          <w:szCs w:val="28"/>
          <w:vertAlign w:val="superscript"/>
        </w:rPr>
        <w:t>3</w:t>
      </w:r>
      <w:r>
        <w:rPr>
          <w:rFonts w:cs="Times New Roman" w:ascii="Times New Roman" w:hAnsi="Times New Roman"/>
          <w:sz w:val="28"/>
          <w:szCs w:val="28"/>
        </w:rPr>
        <w:t>.</w:t>
      </w:r>
      <w:r>
        <w:rPr>
          <w:rFonts w:eastAsia="Calibri" w:cs="Times New Roman" w:ascii="Times New Roman" w:hAnsi="Times New Roman"/>
          <w:sz w:val="28"/>
          <w:szCs w:val="28"/>
        </w:rPr>
        <w:t xml:space="preserve"> На основе результатов испытаний образцов разработана технологическая схема производства. </w:t>
      </w:r>
      <w:r>
        <w:rPr>
          <w:rFonts w:eastAsia="Times New Roman" w:cs="Times New Roman" w:ascii="Times New Roman" w:hAnsi="Times New Roman"/>
          <w:iCs/>
          <w:sz w:val="28"/>
          <w:szCs w:val="28"/>
          <w:lang w:eastAsia="ru-RU"/>
        </w:rPr>
        <w:t>Выбранные режимы технологического процесса позволяют получить напиток с хорошими органолептическими и микробиологическими показателями.</w:t>
      </w:r>
    </w:p>
    <w:p>
      <w:pPr>
        <w:pStyle w:val="Normal"/>
        <w:spacing w:lineRule="auto" w:line="360" w:before="0" w:after="0"/>
        <w:ind w:firstLine="709"/>
        <w:contextualSpacing/>
        <w:jc w:val="both"/>
        <w:rPr>
          <w:rFonts w:ascii="Times New Roman" w:hAnsi="Times New Roman" w:cs="Times New Roman"/>
          <w:sz w:val="28"/>
          <w:szCs w:val="28"/>
        </w:rPr>
      </w:pPr>
      <w:r>
        <w:rPr>
          <w:rFonts w:cs="Times New Roman" w:ascii="Times New Roman" w:hAnsi="Times New Roman"/>
          <w:b/>
          <w:bCs/>
          <w:i/>
          <w:iCs/>
          <w:sz w:val="28"/>
          <w:szCs w:val="28"/>
        </w:rPr>
        <w:t xml:space="preserve">Ключевые слова: </w:t>
      </w:r>
      <w:r>
        <w:rPr>
          <w:rFonts w:cs="Times New Roman" w:ascii="Times New Roman" w:hAnsi="Times New Roman"/>
          <w:sz w:val="28"/>
          <w:szCs w:val="28"/>
        </w:rPr>
        <w:t>здоровое питание, ячмень, топинамбур, сухое молоко, высокобелковый продукт.</w:t>
      </w:r>
    </w:p>
    <w:p>
      <w:pPr>
        <w:pStyle w:val="Normal"/>
        <w:widowControl w:val="false"/>
        <w:tabs>
          <w:tab w:val="clear" w:pos="708"/>
          <w:tab w:val="left" w:pos="1675" w:leader="none"/>
        </w:tabs>
        <w:spacing w:lineRule="auto" w:line="360" w:before="0" w:after="0"/>
        <w:ind w:firstLine="709"/>
        <w:jc w:val="both"/>
        <w:rPr>
          <w:rFonts w:ascii="Times New Roman" w:hAnsi="Times New Roman"/>
          <w:sz w:val="28"/>
          <w:szCs w:val="28"/>
        </w:rPr>
      </w:pPr>
      <w:bookmarkStart w:id="1" w:name="_Hlk106388648"/>
      <w:r>
        <w:rPr>
          <w:rFonts w:cs="Times New Roman" w:ascii="Times New Roman" w:hAnsi="Times New Roman"/>
          <w:sz w:val="28"/>
          <w:szCs w:val="28"/>
        </w:rPr>
        <w:t xml:space="preserve">Обеспечение населения высококачественными биологически полноценными </w:t>
      </w:r>
      <w:bookmarkEnd w:id="1"/>
      <w:r>
        <w:rPr>
          <w:rFonts w:cs="Times New Roman" w:ascii="Times New Roman" w:hAnsi="Times New Roman"/>
          <w:sz w:val="28"/>
          <w:szCs w:val="28"/>
        </w:rPr>
        <w:t>продуктами питания имеет большое социальное значение, особенно в связи с нарушением структуры питания (</w:t>
      </w:r>
      <w:r>
        <w:rPr>
          <w:rFonts w:ascii="Times New Roman" w:hAnsi="Times New Roman"/>
          <w:sz w:val="28"/>
          <w:szCs w:val="28"/>
        </w:rPr>
        <w:t>Попова, 2021</w:t>
      </w:r>
      <w:r>
        <w:rPr>
          <w:rFonts w:cs="Times New Roman" w:ascii="Times New Roman" w:hAnsi="Times New Roman"/>
          <w:sz w:val="28"/>
          <w:szCs w:val="28"/>
        </w:rPr>
        <w:t>). Приоритетным направлением государственной политики России в области здорового питания следует считать соответствие физиологических потребностей организма человека в энергии и важных пищевых веществах структуре потребления питания (</w:t>
      </w:r>
      <w:r>
        <w:rPr>
          <w:rFonts w:eastAsia="Calibri" w:cs="Times New Roman" w:ascii="Times New Roman" w:hAnsi="Times New Roman"/>
          <w:bCs/>
          <w:sz w:val="28"/>
          <w:szCs w:val="28"/>
        </w:rPr>
        <w:t>Стратегия повышения качества пищевой продукции в Российской Федерации до 2030 года, 2016</w:t>
      </w:r>
      <w:r>
        <w:rPr>
          <w:rFonts w:cs="Times New Roman" w:ascii="Times New Roman" w:hAnsi="Times New Roman"/>
          <w:sz w:val="28"/>
          <w:szCs w:val="28"/>
        </w:rPr>
        <w:t xml:space="preserve">). Данный вопрос особо касается дефицита белка, который наблюдается в рационах россиян в последние десятилетия. </w:t>
      </w:r>
    </w:p>
    <w:p>
      <w:pPr>
        <w:pStyle w:val="Normal"/>
        <w:spacing w:lineRule="auto" w:line="360" w:before="0" w:after="0"/>
        <w:ind w:firstLine="709"/>
        <w:contextualSpacing/>
        <w:jc w:val="both"/>
        <w:rPr>
          <w:rFonts w:ascii="Times New Roman" w:hAnsi="Times New Roman" w:cs="Times New Roman"/>
          <w:sz w:val="28"/>
          <w:szCs w:val="28"/>
        </w:rPr>
      </w:pPr>
      <w:r>
        <w:rPr>
          <w:rFonts w:cs="Times New Roman" w:ascii="Times New Roman" w:hAnsi="Times New Roman"/>
          <w:sz w:val="28"/>
          <w:szCs w:val="28"/>
        </w:rPr>
        <w:t xml:space="preserve">Пищевая промышленность может способствовать устранению дисбаланса в структуре питания населения, путем создания новых продуктов с повышенным содержанием белка, относительно небольшой калорийностью и доступной ценой продукта. С учетом показателя низкой калорийности, времени усвоения основных пищевых компонентов, а также с точки зрения соотношения цены и качества, одним из наиболее оптимальных источников белкового сырья можно считать молочные продукты (Батурин, 2020; Федотова, 2019). Сочетание молочного и растительного сырья позволяет обогатить продукты витаминами, минеральными веществами, пищевыми волокнами и различными минорными соединениями (Белая, 2020; Крусь, 2013; Тутельян, 2012; Нормы физиологический потребностей в энергии и пищевых веществах для различных групп населения Российской Федерации, 2021; Российский статистический ежегодник, 2020). </w:t>
      </w:r>
    </w:p>
    <w:p>
      <w:pPr>
        <w:pStyle w:val="Normal"/>
        <w:spacing w:lineRule="auto" w:line="360" w:before="0" w:after="0"/>
        <w:ind w:firstLine="709"/>
        <w:contextualSpacing/>
        <w:jc w:val="both"/>
        <w:rPr>
          <w:rFonts w:ascii="Times New Roman" w:hAnsi="Times New Roman" w:cs="Times New Roman"/>
          <w:sz w:val="28"/>
          <w:szCs w:val="28"/>
        </w:rPr>
      </w:pPr>
      <w:r>
        <w:rPr>
          <w:rFonts w:cs="Times New Roman" w:ascii="Times New Roman" w:hAnsi="Times New Roman"/>
          <w:sz w:val="28"/>
          <w:szCs w:val="28"/>
        </w:rPr>
        <w:t xml:space="preserve">За прототип нового продукта был взят ячменный кофе – популярный во многих странах напиток. Важное достоинство продукта – полное отсутствие кофеина, поэтому ячменный кофе могут пить люди, которым кофе не рекомендуется из диетологических соображений. До появления кофе без кофеина ячменный напиток был единственной альтернативой для тех, кому противопоказан кофеин по состоянию здоровья. </w:t>
      </w:r>
    </w:p>
    <w:p>
      <w:pPr>
        <w:pStyle w:val="Normal"/>
        <w:spacing w:lineRule="auto" w:line="360" w:before="0" w:after="0"/>
        <w:ind w:firstLine="709"/>
        <w:contextualSpacing/>
        <w:jc w:val="both"/>
        <w:rPr>
          <w:rFonts w:ascii="Times New Roman" w:hAnsi="Times New Roman" w:cs="Times New Roman"/>
          <w:sz w:val="28"/>
          <w:szCs w:val="28"/>
        </w:rPr>
      </w:pPr>
      <w:r>
        <w:rPr>
          <w:rFonts w:cs="Times New Roman" w:ascii="Times New Roman" w:hAnsi="Times New Roman"/>
          <w:sz w:val="28"/>
          <w:szCs w:val="28"/>
        </w:rPr>
        <w:t xml:space="preserve">В кофейнях и барах заменитель кофе делают из обжаренного ячменя. Цвет и консистенция ячменного напитка внешне очень схожа с натуральным кофе. Вкус мягкий, с нотками обжаренного хлеба, а добавление молока делает напиток похожим на капучино. </w:t>
      </w:r>
    </w:p>
    <w:p>
      <w:pPr>
        <w:pStyle w:val="Normal"/>
        <w:spacing w:lineRule="auto" w:line="360" w:before="0" w:after="0"/>
        <w:ind w:firstLine="709"/>
        <w:contextualSpacing/>
        <w:jc w:val="both"/>
        <w:rPr>
          <w:rFonts w:ascii="Times New Roman" w:hAnsi="Times New Roman" w:cs="Times New Roman"/>
          <w:sz w:val="28"/>
          <w:szCs w:val="28"/>
        </w:rPr>
      </w:pPr>
      <w:r>
        <w:rPr>
          <w:rFonts w:cs="Times New Roman" w:ascii="Times New Roman" w:hAnsi="Times New Roman"/>
          <w:sz w:val="28"/>
          <w:szCs w:val="28"/>
        </w:rPr>
        <w:t xml:space="preserve">В ячмене нет такого количества эфирных масел, как в кофейных зернах, поэтому он не оставляет на посуде следов и запаха. </w:t>
      </w:r>
    </w:p>
    <w:p>
      <w:pPr>
        <w:pStyle w:val="Normal"/>
        <w:spacing w:lineRule="auto" w:line="360" w:before="0" w:after="0"/>
        <w:ind w:firstLine="709"/>
        <w:contextualSpacing/>
        <w:jc w:val="both"/>
        <w:rPr>
          <w:rFonts w:ascii="Times New Roman" w:hAnsi="Times New Roman" w:cs="Times New Roman"/>
          <w:sz w:val="28"/>
          <w:szCs w:val="28"/>
        </w:rPr>
      </w:pPr>
      <w:r>
        <w:rPr>
          <w:rFonts w:cs="Times New Roman" w:ascii="Times New Roman" w:hAnsi="Times New Roman"/>
          <w:sz w:val="28"/>
          <w:szCs w:val="28"/>
        </w:rPr>
        <w:t>Основная масса углеводов ячменя представлена крахмалом. Содержание моно- и олигосахаридов в зерне ячменя, по данным разных авторов, варьирует в пределах 1,4-6,8 %. В зародыше обнаружено 4,9 % раффинозы (Бородулин, 2014).</w:t>
      </w:r>
    </w:p>
    <w:p>
      <w:pPr>
        <w:pStyle w:val="Normal"/>
        <w:spacing w:lineRule="auto" w:line="360" w:before="0" w:after="0"/>
        <w:ind w:firstLine="709"/>
        <w:contextualSpacing/>
        <w:jc w:val="both"/>
        <w:rPr>
          <w:rFonts w:ascii="Times New Roman" w:hAnsi="Times New Roman" w:cs="Times New Roman"/>
          <w:sz w:val="28"/>
          <w:szCs w:val="28"/>
        </w:rPr>
      </w:pPr>
      <w:r>
        <w:rPr>
          <w:rFonts w:cs="Times New Roman" w:ascii="Times New Roman" w:hAnsi="Times New Roman"/>
          <w:sz w:val="28"/>
          <w:szCs w:val="28"/>
        </w:rPr>
        <w:t>Из некрахмальных полисахаридов в ячмене присутствуют гемицеллюлозы и β-глюкан. Смешанный β-D-глюкан эндосперма ячменя относится к группе неразветвленных полисахаридов, состоящих из 1,4- и 1,3-D-глюкопиранозных остатков в варьирующих соотношениях. Выделенный в чистом виде β-глюкан дает вязкие устойчивые растворы, что может быть полезным для стабилизации пищевых систем.</w:t>
      </w:r>
    </w:p>
    <w:p>
      <w:pPr>
        <w:pStyle w:val="Normal"/>
        <w:spacing w:lineRule="auto" w:line="360" w:before="0" w:after="0"/>
        <w:ind w:firstLine="709"/>
        <w:contextualSpacing/>
        <w:jc w:val="both"/>
        <w:rPr>
          <w:rFonts w:ascii="Times New Roman" w:hAnsi="Times New Roman" w:cs="Times New Roman"/>
          <w:sz w:val="28"/>
          <w:szCs w:val="28"/>
        </w:rPr>
      </w:pPr>
      <w:r>
        <w:rPr>
          <w:rFonts w:cs="Times New Roman" w:ascii="Times New Roman" w:hAnsi="Times New Roman"/>
          <w:sz w:val="28"/>
          <w:szCs w:val="28"/>
        </w:rPr>
        <w:t xml:space="preserve">В плане пищевой ценности β-глюканы способны оказывать на организм человека профилактический и лечебный эффект (Harland, 2014; Loskutov, Polonskiy, 2017), который обусловлен их противовоспалительным, противоопухолевым, противоаллергическим, антиоксидантным и иммунопротекторным действием (Sagnelli et al., 2018; Bozbulut et al., 2019). Также положительная роль β-глюкана на организм человека заключается в снижении концентрации глюкозы, общего холестерина, липопротеинов низкой плотности и триглицеридов в крови (Behall et al., 2004; </w:t>
      </w:r>
      <w:r>
        <w:rPr>
          <w:rFonts w:cs="Times New Roman" w:ascii="Times New Roman" w:hAnsi="Times New Roman"/>
          <w:color w:val="0A0A0A"/>
          <w:sz w:val="28"/>
          <w:szCs w:val="28"/>
          <w:shd w:fill="FEFEFE" w:val="clear"/>
        </w:rPr>
        <w:t>Barber, 2020</w:t>
      </w:r>
      <w:r>
        <w:rPr>
          <w:rFonts w:cs="Times New Roman" w:ascii="Times New Roman" w:hAnsi="Times New Roman"/>
          <w:sz w:val="28"/>
          <w:szCs w:val="28"/>
        </w:rPr>
        <w:t xml:space="preserve">; </w:t>
      </w:r>
      <w:r>
        <w:rPr>
          <w:rFonts w:cs="Times New Roman" w:ascii="Times New Roman" w:hAnsi="Times New Roman"/>
          <w:color w:val="0A0A0A"/>
          <w:sz w:val="28"/>
          <w:szCs w:val="28"/>
          <w:shd w:fill="FEFEFE" w:val="clear"/>
          <w:lang w:val="en-US"/>
        </w:rPr>
        <w:t>Alexander</w:t>
      </w:r>
      <w:r>
        <w:rPr>
          <w:rFonts w:cs="Times New Roman" w:ascii="Times New Roman" w:hAnsi="Times New Roman"/>
          <w:color w:val="0A0A0A"/>
          <w:sz w:val="28"/>
          <w:szCs w:val="28"/>
          <w:shd w:fill="FEFEFE" w:val="clear"/>
        </w:rPr>
        <w:t>, 2019</w:t>
      </w:r>
      <w:r>
        <w:rPr>
          <w:rFonts w:cs="Times New Roman" w:ascii="Times New Roman" w:hAnsi="Times New Roman"/>
          <w:sz w:val="28"/>
          <w:szCs w:val="28"/>
        </w:rPr>
        <w:t xml:space="preserve">; </w:t>
      </w:r>
      <w:r>
        <w:rPr>
          <w:rFonts w:cs="Times New Roman" w:ascii="Times New Roman" w:hAnsi="Times New Roman"/>
          <w:color w:val="0A0A0A"/>
          <w:sz w:val="28"/>
          <w:szCs w:val="28"/>
          <w:shd w:fill="FEFEFE" w:val="clear"/>
          <w:lang w:val="en-US"/>
        </w:rPr>
        <w:t>Belobrajdic</w:t>
      </w:r>
      <w:r>
        <w:rPr>
          <w:rFonts w:cs="Times New Roman" w:ascii="Times New Roman" w:hAnsi="Times New Roman"/>
          <w:color w:val="0A0A0A"/>
          <w:sz w:val="28"/>
          <w:szCs w:val="28"/>
          <w:shd w:fill="FEFEFE" w:val="clear"/>
        </w:rPr>
        <w:t>, 2019</w:t>
      </w:r>
      <w:r>
        <w:rPr>
          <w:rFonts w:cs="Times New Roman" w:ascii="Times New Roman" w:hAnsi="Times New Roman"/>
          <w:sz w:val="28"/>
          <w:szCs w:val="28"/>
        </w:rPr>
        <w:t xml:space="preserve">; </w:t>
      </w:r>
      <w:r>
        <w:rPr>
          <w:rFonts w:cs="Times New Roman" w:ascii="Times New Roman" w:hAnsi="Times New Roman"/>
          <w:color w:val="0A0A0A"/>
          <w:sz w:val="28"/>
          <w:szCs w:val="28"/>
          <w:shd w:fill="FEFEFE" w:val="clear"/>
          <w:lang w:val="en-US"/>
        </w:rPr>
        <w:t>Wilson</w:t>
      </w:r>
      <w:r>
        <w:rPr>
          <w:rFonts w:cs="Times New Roman" w:ascii="Times New Roman" w:hAnsi="Times New Roman"/>
          <w:color w:val="0A0A0A"/>
          <w:sz w:val="28"/>
          <w:szCs w:val="28"/>
          <w:shd w:fill="FEFEFE" w:val="clear"/>
        </w:rPr>
        <w:t>, 2020</w:t>
      </w:r>
      <w:r>
        <w:rPr>
          <w:rFonts w:cs="Times New Roman" w:ascii="Times New Roman" w:hAnsi="Times New Roman"/>
          <w:sz w:val="28"/>
          <w:szCs w:val="28"/>
        </w:rPr>
        <w:t xml:space="preserve">; </w:t>
      </w:r>
      <w:r>
        <w:rPr>
          <w:rFonts w:cs="Times New Roman" w:ascii="Times New Roman" w:hAnsi="Times New Roman"/>
          <w:color w:val="0A0A0A"/>
          <w:sz w:val="28"/>
          <w:szCs w:val="28"/>
          <w:shd w:fill="FEFEFE" w:val="clear"/>
          <w:lang w:val="en-US"/>
        </w:rPr>
        <w:t>Moszak</w:t>
      </w:r>
      <w:r>
        <w:rPr>
          <w:rFonts w:cs="Times New Roman" w:ascii="Times New Roman" w:hAnsi="Times New Roman"/>
          <w:color w:val="0A0A0A"/>
          <w:sz w:val="28"/>
          <w:szCs w:val="28"/>
          <w:shd w:fill="FEFEFE" w:val="clear"/>
        </w:rPr>
        <w:t>, 2020</w:t>
      </w:r>
      <w:r>
        <w:rPr>
          <w:rFonts w:cs="Times New Roman" w:ascii="Times New Roman" w:hAnsi="Times New Roman"/>
          <w:sz w:val="28"/>
          <w:szCs w:val="28"/>
        </w:rPr>
        <w:t xml:space="preserve">; </w:t>
      </w:r>
      <w:r>
        <w:rPr>
          <w:rFonts w:cs="Times New Roman" w:ascii="Times New Roman" w:hAnsi="Times New Roman"/>
          <w:color w:val="0A0A0A"/>
          <w:sz w:val="28"/>
          <w:szCs w:val="28"/>
          <w:shd w:fill="FEFEFE" w:val="clear"/>
          <w:lang w:val="en-US"/>
        </w:rPr>
        <w:t>Yang</w:t>
      </w:r>
      <w:r>
        <w:rPr>
          <w:rFonts w:cs="Times New Roman" w:ascii="Times New Roman" w:hAnsi="Times New Roman"/>
          <w:color w:val="0A0A0A"/>
          <w:sz w:val="28"/>
          <w:szCs w:val="28"/>
          <w:shd w:fill="FEFEFE" w:val="clear"/>
        </w:rPr>
        <w:t>, 2020</w:t>
      </w:r>
      <w:r>
        <w:rPr>
          <w:rFonts w:cs="Times New Roman" w:ascii="Times New Roman" w:hAnsi="Times New Roman"/>
          <w:sz w:val="28"/>
          <w:szCs w:val="28"/>
        </w:rPr>
        <w:t xml:space="preserve">; </w:t>
      </w:r>
      <w:r>
        <w:rPr>
          <w:rFonts w:cs="Times New Roman" w:ascii="Times New Roman" w:hAnsi="Times New Roman"/>
          <w:color w:val="0A0A0A"/>
          <w:sz w:val="28"/>
          <w:szCs w:val="28"/>
          <w:shd w:fill="FEFEFE" w:val="clear"/>
          <w:lang w:val="en-US"/>
        </w:rPr>
        <w:t>Marttinen</w:t>
      </w:r>
      <w:r>
        <w:rPr>
          <w:rFonts w:cs="Times New Roman" w:ascii="Times New Roman" w:hAnsi="Times New Roman"/>
          <w:color w:val="0A0A0A"/>
          <w:sz w:val="28"/>
          <w:szCs w:val="28"/>
          <w:shd w:fill="FEFEFE" w:val="clear"/>
        </w:rPr>
        <w:t>, 2020</w:t>
      </w:r>
      <w:r>
        <w:rPr>
          <w:rFonts w:cs="Times New Roman" w:ascii="Times New Roman" w:hAnsi="Times New Roman"/>
          <w:sz w:val="28"/>
          <w:szCs w:val="28"/>
        </w:rPr>
        <w:t>).</w:t>
      </w:r>
    </w:p>
    <w:p>
      <w:pPr>
        <w:pStyle w:val="Normal"/>
        <w:spacing w:lineRule="auto" w:line="360" w:before="0" w:after="0"/>
        <w:ind w:firstLine="709"/>
        <w:contextualSpacing/>
        <w:jc w:val="both"/>
        <w:rPr>
          <w:rFonts w:ascii="Times New Roman" w:hAnsi="Times New Roman" w:cs="Times New Roman"/>
          <w:sz w:val="28"/>
          <w:szCs w:val="28"/>
        </w:rPr>
      </w:pPr>
      <w:r>
        <w:rPr>
          <w:rFonts w:cs="Times New Roman" w:ascii="Times New Roman" w:hAnsi="Times New Roman"/>
          <w:sz w:val="28"/>
          <w:szCs w:val="28"/>
        </w:rPr>
        <w:t>Белки ячменя представлены почти нерастворимыми в воде высокомолекулярными фракциями глобулинов и проламинов. Эти белки содержат практически полный набор незаменимых аминокислот, включая особо дефицитные – лизин и триптофан, превосходя по их содержанию пшеницу и кукурузу (Garkavy, Pylneva, 1980)</w:t>
      </w:r>
    </w:p>
    <w:p>
      <w:pPr>
        <w:pStyle w:val="Normal"/>
        <w:spacing w:lineRule="auto" w:line="360" w:before="0" w:after="0"/>
        <w:ind w:firstLine="709"/>
        <w:contextualSpacing/>
        <w:jc w:val="both"/>
        <w:rPr>
          <w:rFonts w:ascii="Times New Roman" w:hAnsi="Times New Roman" w:cs="Times New Roman"/>
          <w:sz w:val="28"/>
          <w:szCs w:val="28"/>
        </w:rPr>
      </w:pPr>
      <w:r>
        <w:rPr>
          <w:rFonts w:cs="Times New Roman" w:ascii="Times New Roman" w:hAnsi="Times New Roman"/>
          <w:bCs/>
          <w:sz w:val="28"/>
          <w:szCs w:val="28"/>
        </w:rPr>
        <w:t xml:space="preserve">Целью данной </w:t>
      </w:r>
      <w:r>
        <w:rPr>
          <w:rFonts w:cs="Times New Roman" w:ascii="Times New Roman" w:hAnsi="Times New Roman"/>
          <w:sz w:val="28"/>
          <w:szCs w:val="28"/>
        </w:rPr>
        <w:t>работы является изучение органолептической и технологической совместимости порошка ячменя с молочным сырьем при разработке рецептуры и технологии высокобелкового молочного напитка.</w:t>
      </w:r>
    </w:p>
    <w:p>
      <w:pPr>
        <w:pStyle w:val="Normal"/>
        <w:spacing w:lineRule="auto" w:line="360" w:before="0" w:after="0"/>
        <w:ind w:firstLine="709"/>
        <w:contextualSpacing/>
        <w:jc w:val="center"/>
        <w:rPr>
          <w:rFonts w:ascii="Times New Roman" w:hAnsi="Times New Roman" w:cs="Times New Roman"/>
          <w:b/>
          <w:b/>
          <w:bCs/>
          <w:sz w:val="28"/>
          <w:szCs w:val="28"/>
        </w:rPr>
      </w:pPr>
      <w:r>
        <w:rPr>
          <w:rFonts w:cs="Times New Roman" w:ascii="Times New Roman" w:hAnsi="Times New Roman"/>
          <w:b/>
          <w:bCs/>
          <w:sz w:val="28"/>
          <w:szCs w:val="28"/>
        </w:rPr>
        <w:t>Методика</w:t>
      </w:r>
    </w:p>
    <w:p>
      <w:pPr>
        <w:pStyle w:val="Normal"/>
        <w:spacing w:lineRule="auto" w:line="360" w:before="0" w:after="0"/>
        <w:ind w:firstLine="709"/>
        <w:contextualSpacing/>
        <w:jc w:val="both"/>
        <w:rPr>
          <w:rFonts w:ascii="Times New Roman" w:hAnsi="Times New Roman" w:cs="Times New Roman"/>
          <w:sz w:val="28"/>
          <w:szCs w:val="28"/>
          <w:lang w:eastAsia="ru-RU"/>
        </w:rPr>
      </w:pPr>
      <w:r>
        <w:rPr>
          <w:rFonts w:cs="Times New Roman" w:ascii="Times New Roman" w:hAnsi="Times New Roman"/>
          <w:sz w:val="28"/>
          <w:szCs w:val="28"/>
        </w:rPr>
        <w:t xml:space="preserve">Основным молочным сырьем служило сухое обезжиренное молоко (СОМ) </w:t>
      </w:r>
      <w:r>
        <w:rPr>
          <w:rFonts w:cs="Times New Roman" w:ascii="Times New Roman" w:hAnsi="Times New Roman"/>
          <w:sz w:val="28"/>
          <w:szCs w:val="28"/>
          <w:lang w:eastAsia="ru-RU"/>
        </w:rPr>
        <w:t xml:space="preserve">производства </w:t>
      </w:r>
      <w:r>
        <w:rPr>
          <w:rFonts w:cs="Times New Roman" w:ascii="Times New Roman" w:hAnsi="Times New Roman"/>
          <w:sz w:val="28"/>
          <w:szCs w:val="28"/>
        </w:rPr>
        <w:t>АО «Учебно-опытный молочный завод» ВГМХА им. Н. В. Верещагина.</w:t>
      </w:r>
      <w:r>
        <w:rPr>
          <w:rFonts w:cs="Times New Roman" w:ascii="Times New Roman" w:hAnsi="Times New Roman"/>
          <w:sz w:val="28"/>
          <w:szCs w:val="28"/>
          <w:lang w:eastAsia="ru-RU"/>
        </w:rPr>
        <w:t xml:space="preserve"> Востребованность </w:t>
      </w:r>
      <w:r>
        <w:rPr>
          <w:rFonts w:cs="Times New Roman" w:ascii="Times New Roman" w:hAnsi="Times New Roman"/>
          <w:bCs/>
          <w:iCs/>
          <w:sz w:val="28"/>
          <w:szCs w:val="28"/>
          <w:lang w:eastAsia="ru-RU"/>
        </w:rPr>
        <w:t>СОМ</w:t>
      </w:r>
      <w:r>
        <w:rPr>
          <w:rFonts w:cs="Times New Roman" w:ascii="Times New Roman" w:hAnsi="Times New Roman"/>
          <w:sz w:val="28"/>
          <w:szCs w:val="28"/>
          <w:lang w:eastAsia="ru-RU"/>
        </w:rPr>
        <w:t xml:space="preserve"> как ингредиента для пищевой промышленности связана с высоким содержанием в нем белка, наличием в составе всех полезных веществ молока, удобством транспортировки и длительным сроком годности. Использование СОМ позволяет сократить расходы на логистику, избежать зависимости поставок сырья от сезона года, а в результате – получать продукты стабильно высокого качества, соответствующие требованиям стандартов и Технических Регламентов Таможенного союза (Технический регламент Таможенного союза «О безопасности пищевой продукции» (ТР ТС 021/2011); Технический регламент Таможенного союза «О безопасности молока и молочной продукции» (ТР ТС 033/2013)). </w:t>
      </w:r>
    </w:p>
    <w:p>
      <w:pPr>
        <w:pStyle w:val="Normal"/>
        <w:spacing w:lineRule="auto" w:line="360" w:before="0" w:after="0"/>
        <w:ind w:firstLine="709"/>
        <w:contextualSpacing/>
        <w:jc w:val="both"/>
        <w:rPr>
          <w:rFonts w:ascii="Times New Roman" w:hAnsi="Times New Roman" w:cs="Times New Roman"/>
          <w:sz w:val="28"/>
          <w:szCs w:val="28"/>
          <w:lang w:eastAsia="ru-RU"/>
        </w:rPr>
      </w:pPr>
      <w:r>
        <w:rPr>
          <w:rFonts w:cs="Times New Roman" w:ascii="Times New Roman" w:hAnsi="Times New Roman"/>
          <w:sz w:val="28"/>
          <w:szCs w:val="28"/>
          <w:lang w:eastAsia="ru-RU"/>
        </w:rPr>
        <w:t>Органолептические характеристики СОМ позволяют использовать данное сырье в разных отраслях пищевой промышленности, в частности, на таких производствах как кондитерское, хлебобулочное, при производстве молочных продуктов, мясных полуфабрикатов и др.</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Для соединения с молочным сырьем использовали порошкообразную форму переработанного ячменя (ТУ 10.83.12-010-44418433-2019 ячменный напиток «Старая мельница», ОАО «Русский продукт»), которая способна равномерно распределяться в молочном сырье. Это важное условие для проявления свойств ячменя, как гидроколлоида, который будет способствовать стабилизации продукта в хранении. </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В качестве подсластителя использован сироп топинамбура, выработанный по ТУ 9185-003-56857055-05. Данный ингредиент имеет более высокую сладость, в сравнении с сахарозой, и, следовательно, необходим в меньших количествах для достижения требуемой сладости продукта (Кантере, 2001).</w:t>
      </w:r>
    </w:p>
    <w:p>
      <w:pPr>
        <w:pStyle w:val="Normal"/>
        <w:spacing w:lineRule="auto" w:line="360" w:before="0" w:after="0"/>
        <w:ind w:firstLine="709"/>
        <w:jc w:val="both"/>
        <w:rPr>
          <w:rFonts w:ascii="Times New Roman" w:hAnsi="Times New Roman" w:eastAsia="Times New Roman" w:cs="Times New Roman"/>
          <w:sz w:val="28"/>
          <w:szCs w:val="28"/>
          <w:lang w:eastAsia="ru-RU"/>
        </w:rPr>
      </w:pPr>
      <w:r>
        <w:rPr>
          <w:rFonts w:cs="Times New Roman" w:ascii="Times New Roman" w:hAnsi="Times New Roman"/>
          <w:sz w:val="28"/>
          <w:szCs w:val="28"/>
        </w:rPr>
        <w:t xml:space="preserve">Органолептические показатели образцов определяли стандартными методами по ГОСТ Р ИСО 22935-2-2011 и ГОСТ Р ИСО 22935-3-2011, массовую долю белка – методом Къельдаля, содержание жира, углеводов и сухих веществ – с применением </w:t>
      </w:r>
      <w:r>
        <w:rPr>
          <w:rFonts w:cs="Times New Roman" w:ascii="Times New Roman" w:hAnsi="Times New Roman"/>
          <w:sz w:val="28"/>
          <w:szCs w:val="28"/>
          <w:shd w:fill="FFFFFF" w:val="clear"/>
        </w:rPr>
        <w:t xml:space="preserve">ИК-Фурье спектрометра МРА фирмы </w:t>
      </w:r>
      <w:r>
        <w:rPr>
          <w:rFonts w:cs="Times New Roman" w:ascii="Times New Roman" w:hAnsi="Times New Roman"/>
          <w:sz w:val="28"/>
          <w:szCs w:val="28"/>
          <w:shd w:fill="FFFFFF" w:val="clear"/>
          <w:lang w:val="en-US"/>
        </w:rPr>
        <w:t>Bruker</w:t>
      </w:r>
      <w:r>
        <w:rPr>
          <w:rFonts w:cs="Times New Roman" w:ascii="Times New Roman" w:hAnsi="Times New Roman"/>
          <w:bCs/>
          <w:sz w:val="28"/>
          <w:szCs w:val="28"/>
        </w:rPr>
        <w:t xml:space="preserve">. </w:t>
      </w:r>
      <w:r>
        <w:rPr>
          <w:rFonts w:eastAsia="Times New Roman" w:cs="Times New Roman" w:ascii="Times New Roman" w:hAnsi="Times New Roman"/>
          <w:sz w:val="28"/>
          <w:szCs w:val="28"/>
          <w:lang w:eastAsia="ru-RU"/>
        </w:rPr>
        <w:t xml:space="preserve">Растворимость СОМ исследовали стандартным методом </w:t>
      </w:r>
      <w:r>
        <w:rPr>
          <w:rFonts w:cs="Times New Roman" w:ascii="Times New Roman" w:hAnsi="Times New Roman"/>
          <w:sz w:val="28"/>
          <w:szCs w:val="28"/>
        </w:rPr>
        <w:t>центрифугирования в соответствии с ГОСТ Р ИСО 8156-2010.</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Плотность образцов определяли с помощью тензиометра </w:t>
      </w:r>
      <w:r>
        <w:rPr>
          <w:rFonts w:cs="Times New Roman" w:ascii="Times New Roman" w:hAnsi="Times New Roman"/>
          <w:sz w:val="28"/>
          <w:szCs w:val="28"/>
          <w:lang w:val="en-US"/>
        </w:rPr>
        <w:t>KRUSS</w:t>
      </w:r>
      <w:r>
        <w:rPr>
          <w:rFonts w:cs="Times New Roman" w:ascii="Times New Roman" w:hAnsi="Times New Roman"/>
          <w:sz w:val="28"/>
          <w:szCs w:val="28"/>
        </w:rPr>
        <w:t xml:space="preserve"> </w:t>
      </w:r>
      <w:r>
        <w:rPr>
          <w:rFonts w:cs="Times New Roman" w:ascii="Times New Roman" w:hAnsi="Times New Roman"/>
          <w:sz w:val="28"/>
          <w:szCs w:val="28"/>
          <w:lang w:val="en-US"/>
        </w:rPr>
        <w:t>K</w:t>
      </w:r>
      <w:r>
        <w:rPr>
          <w:rFonts w:cs="Times New Roman" w:ascii="Times New Roman" w:hAnsi="Times New Roman"/>
          <w:sz w:val="28"/>
          <w:szCs w:val="28"/>
        </w:rPr>
        <w:t>-20</w:t>
      </w:r>
      <w:r>
        <w:rPr>
          <w:rFonts w:cs="Times New Roman" w:ascii="Times New Roman" w:hAnsi="Times New Roman"/>
          <w:sz w:val="28"/>
          <w:szCs w:val="28"/>
          <w:lang w:val="en-US"/>
        </w:rPr>
        <w:t>S</w:t>
      </w:r>
      <w:r>
        <w:rPr>
          <w:rFonts w:cs="Times New Roman" w:ascii="Times New Roman" w:hAnsi="Times New Roman"/>
          <w:sz w:val="28"/>
          <w:szCs w:val="28"/>
        </w:rPr>
        <w:t>. Для определения вязкости использовали капиллярный визкозиметр с диаметром капилляра 0,56 мм. Расчет вязкости вели по формуле Ж. Пуазейля:</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r>
    </w:p>
    <w:p>
      <w:pPr>
        <w:pStyle w:val="Normal"/>
        <w:ind w:right="-1" w:firstLine="709"/>
        <w:jc w:val="center"/>
        <w:rPr>
          <w:rFonts w:ascii="Times New Roman" w:hAnsi="Times New Roman" w:cs="Times New Roman"/>
          <w:sz w:val="24"/>
          <w:szCs w:val="24"/>
        </w:rPr>
      </w:pPr>
      <w:r>
        <w:rPr/>
      </w:r>
      <m:oMathPara xmlns:m="http://schemas.openxmlformats.org/officeDocument/2006/math">
        <m:oMathParaPr>
          <m:jc m:val="center"/>
        </m:oMathParaPr>
        <m:oMath>
          <m:sSub>
            <m:e>
              <m:r>
                <w:rPr>
                  <w:rFonts w:ascii="Cambria Math" w:hAnsi="Cambria Math"/>
                </w:rPr>
                <m:t xml:space="preserve">η</m:t>
              </m:r>
            </m:e>
            <m:sub>
              <m:r>
                <w:rPr>
                  <w:rFonts w:ascii="Cambria Math" w:hAnsi="Cambria Math"/>
                </w:rPr>
                <m:t xml:space="preserve">м</m:t>
              </m:r>
            </m:sub>
          </m:sSub>
          <m:r>
            <w:rPr>
              <w:rFonts w:ascii="Cambria Math" w:hAnsi="Cambria Math"/>
            </w:rPr>
            <m:t xml:space="preserve">=</m:t>
          </m:r>
          <m:sSub>
            <m:e>
              <m:r>
                <w:rPr>
                  <w:rFonts w:ascii="Cambria Math" w:hAnsi="Cambria Math"/>
                </w:rPr>
                <m:t xml:space="preserve">η</m:t>
              </m:r>
            </m:e>
            <m:sub>
              <m:r>
                <w:rPr>
                  <w:rFonts w:ascii="Cambria Math" w:hAnsi="Cambria Math"/>
                </w:rPr>
                <m:t xml:space="preserve">в</m:t>
              </m:r>
            </m:sub>
          </m:sSub>
          <m:r>
            <w:rPr>
              <w:rFonts w:ascii="Cambria Math" w:hAnsi="Cambria Math"/>
            </w:rPr>
            <m:t xml:space="preserve">×</m:t>
          </m:r>
          <m:f>
            <m:num>
              <m:sSub>
                <m:e>
                  <m:r>
                    <w:rPr>
                      <w:rFonts w:ascii="Cambria Math" w:hAnsi="Cambria Math"/>
                    </w:rPr>
                    <m:t xml:space="preserve">ρ</m:t>
                  </m:r>
                </m:e>
                <m:sub>
                  <m:r>
                    <w:rPr>
                      <w:rFonts w:ascii="Cambria Math" w:hAnsi="Cambria Math"/>
                    </w:rPr>
                    <m:t xml:space="preserve">м</m:t>
                  </m:r>
                </m:sub>
              </m:sSub>
              <m:r>
                <w:rPr>
                  <w:rFonts w:ascii="Cambria Math" w:hAnsi="Cambria Math"/>
                </w:rPr>
                <m:t xml:space="preserve">×</m:t>
              </m:r>
              <m:sSub>
                <m:e>
                  <m:r>
                    <w:rPr>
                      <w:rFonts w:ascii="Cambria Math" w:hAnsi="Cambria Math"/>
                    </w:rPr>
                    <m:t xml:space="preserve">t</m:t>
                  </m:r>
                </m:e>
                <m:sub>
                  <m:r>
                    <w:rPr>
                      <w:rFonts w:ascii="Cambria Math" w:hAnsi="Cambria Math"/>
                    </w:rPr>
                    <m:t xml:space="preserve">м</m:t>
                  </m:r>
                </m:sub>
              </m:sSub>
            </m:num>
            <m:den>
              <m:sSub>
                <m:e>
                  <m:r>
                    <w:rPr>
                      <w:rFonts w:ascii="Cambria Math" w:hAnsi="Cambria Math"/>
                    </w:rPr>
                    <m:t xml:space="preserve">ρ</m:t>
                  </m:r>
                </m:e>
                <m:sub>
                  <m:r>
                    <w:rPr>
                      <w:rFonts w:ascii="Cambria Math" w:hAnsi="Cambria Math"/>
                    </w:rPr>
                    <m:t xml:space="preserve">в</m:t>
                  </m:r>
                </m:sub>
              </m:sSub>
              <m:r>
                <w:rPr>
                  <w:rFonts w:ascii="Cambria Math" w:hAnsi="Cambria Math"/>
                </w:rPr>
                <m:t xml:space="preserve">×</m:t>
              </m:r>
              <m:sSub>
                <m:e>
                  <m:r>
                    <w:rPr>
                      <w:rFonts w:ascii="Cambria Math" w:hAnsi="Cambria Math"/>
                    </w:rPr>
                    <m:t xml:space="preserve">t</m:t>
                  </m:r>
                </m:e>
                <m:sub>
                  <m:r>
                    <w:rPr>
                      <w:rFonts w:ascii="Cambria Math" w:hAnsi="Cambria Math"/>
                    </w:rPr>
                    <m:t xml:space="preserve">в</m:t>
                  </m:r>
                </m:sub>
              </m:sSub>
            </m:den>
          </m:f>
        </m:oMath>
      </m:oMathPara>
    </w:p>
    <w:p>
      <w:pPr>
        <w:pStyle w:val="Style29"/>
        <w:spacing w:lineRule="auto" w:line="360"/>
        <w:rPr>
          <w:sz w:val="28"/>
          <w:szCs w:val="28"/>
        </w:rPr>
      </w:pPr>
      <w:r>
        <w:rPr>
          <w:sz w:val="28"/>
          <w:szCs w:val="28"/>
        </w:rPr>
        <w:t xml:space="preserve">где </w:t>
        <w:tab/>
      </w:r>
      <w:r>
        <w:rPr>
          <w:rFonts w:eastAsia="Symbol" w:cs="Symbol" w:ascii="Symbol" w:hAnsi="Symbol"/>
          <w:bCs w:val="false"/>
          <w:i/>
          <w:iCs/>
          <w:sz w:val="28"/>
          <w:szCs w:val="28"/>
        </w:rPr>
        <w:t>h</w:t>
      </w:r>
      <w:r>
        <w:rPr>
          <w:bCs w:val="false"/>
          <w:i/>
          <w:iCs/>
          <w:sz w:val="28"/>
          <w:szCs w:val="28"/>
          <w:vertAlign w:val="subscript"/>
        </w:rPr>
        <w:t>м</w:t>
      </w:r>
      <w:r>
        <w:rPr>
          <w:sz w:val="28"/>
          <w:szCs w:val="28"/>
        </w:rPr>
        <w:t> – вязкость исследуемого молока при 20°С, Па×с;</w:t>
      </w:r>
    </w:p>
    <w:p>
      <w:pPr>
        <w:pStyle w:val="Style29"/>
        <w:spacing w:lineRule="auto" w:line="360"/>
        <w:ind w:left="709" w:hanging="0"/>
        <w:rPr>
          <w:sz w:val="28"/>
          <w:szCs w:val="28"/>
        </w:rPr>
      </w:pPr>
      <w:r>
        <w:rPr>
          <w:rFonts w:eastAsia="Symbol" w:cs="Symbol" w:ascii="Symbol" w:hAnsi="Symbol"/>
          <w:bCs w:val="false"/>
          <w:i/>
          <w:iCs/>
          <w:sz w:val="28"/>
          <w:szCs w:val="28"/>
        </w:rPr>
        <w:t>h</w:t>
      </w:r>
      <w:r>
        <w:rPr>
          <w:bCs w:val="false"/>
          <w:i/>
          <w:iCs/>
          <w:sz w:val="28"/>
          <w:szCs w:val="28"/>
          <w:vertAlign w:val="subscript"/>
        </w:rPr>
        <w:t>в</w:t>
      </w:r>
      <w:r>
        <w:rPr>
          <w:sz w:val="28"/>
          <w:szCs w:val="28"/>
        </w:rPr>
        <w:t xml:space="preserve"> – вязкость воды при 20°С, Па×с; </w:t>
      </w:r>
      <w:r>
        <w:rPr>
          <w:rFonts w:eastAsia="Symbol" w:cs="Symbol" w:ascii="Symbol" w:hAnsi="Symbol"/>
          <w:sz w:val="28"/>
          <w:szCs w:val="28"/>
        </w:rPr>
        <w:t>h</w:t>
      </w:r>
      <w:r>
        <w:rPr>
          <w:sz w:val="28"/>
          <w:szCs w:val="28"/>
          <w:vertAlign w:val="subscript"/>
        </w:rPr>
        <w:t>в</w:t>
      </w:r>
      <w:r>
        <w:rPr>
          <w:sz w:val="28"/>
          <w:szCs w:val="28"/>
        </w:rPr>
        <w:t>=1,005*10</w:t>
      </w:r>
      <w:r>
        <w:rPr>
          <w:sz w:val="28"/>
          <w:szCs w:val="28"/>
          <w:vertAlign w:val="superscript"/>
        </w:rPr>
        <w:t>–3</w:t>
      </w:r>
      <w:r>
        <w:rPr>
          <w:sz w:val="28"/>
          <w:szCs w:val="28"/>
        </w:rPr>
        <w:t xml:space="preserve"> Па×с;</w:t>
      </w:r>
    </w:p>
    <w:p>
      <w:pPr>
        <w:pStyle w:val="Style29"/>
        <w:spacing w:lineRule="auto" w:line="360"/>
        <w:ind w:left="0" w:firstLine="709"/>
        <w:rPr>
          <w:sz w:val="28"/>
          <w:szCs w:val="28"/>
        </w:rPr>
      </w:pPr>
      <w:r>
        <w:rPr>
          <w:rFonts w:eastAsia="Symbol" w:cs="Symbol" w:ascii="Symbol" w:hAnsi="Symbol"/>
          <w:bCs w:val="false"/>
          <w:i/>
          <w:iCs/>
          <w:sz w:val="28"/>
          <w:szCs w:val="28"/>
        </w:rPr>
        <w:t>r</w:t>
      </w:r>
      <w:r>
        <w:rPr>
          <w:bCs w:val="false"/>
          <w:i/>
          <w:iCs/>
          <w:sz w:val="28"/>
          <w:szCs w:val="28"/>
          <w:vertAlign w:val="subscript"/>
        </w:rPr>
        <w:t>м</w:t>
      </w:r>
      <w:r>
        <w:rPr>
          <w:sz w:val="28"/>
          <w:szCs w:val="28"/>
        </w:rPr>
        <w:t xml:space="preserve"> и </w:t>
      </w:r>
      <w:r>
        <w:rPr>
          <w:rFonts w:eastAsia="Symbol" w:cs="Symbol" w:ascii="Symbol" w:hAnsi="Symbol"/>
          <w:bCs w:val="false"/>
          <w:i/>
          <w:iCs/>
          <w:sz w:val="28"/>
          <w:szCs w:val="28"/>
        </w:rPr>
        <w:t>r</w:t>
      </w:r>
      <w:r>
        <w:rPr>
          <w:bCs w:val="false"/>
          <w:i/>
          <w:iCs/>
          <w:sz w:val="28"/>
          <w:szCs w:val="28"/>
          <w:vertAlign w:val="subscript"/>
        </w:rPr>
        <w:t>в</w:t>
      </w:r>
      <w:r>
        <w:rPr>
          <w:sz w:val="28"/>
          <w:szCs w:val="28"/>
        </w:rPr>
        <w:t> – соответственно плотность исследуемого молока и воды при 20°С, кг/м</w:t>
      </w:r>
      <w:r>
        <w:rPr>
          <w:sz w:val="28"/>
          <w:szCs w:val="28"/>
          <w:vertAlign w:val="superscript"/>
        </w:rPr>
        <w:t>3</w:t>
      </w:r>
      <w:r>
        <w:rPr>
          <w:sz w:val="28"/>
          <w:szCs w:val="28"/>
        </w:rPr>
        <w:t xml:space="preserve">; </w:t>
      </w:r>
      <w:r>
        <w:rPr>
          <w:rFonts w:eastAsia="Symbol" w:cs="Symbol" w:ascii="Symbol" w:hAnsi="Symbol"/>
          <w:sz w:val="28"/>
          <w:szCs w:val="28"/>
        </w:rPr>
        <w:t>r</w:t>
      </w:r>
      <w:r>
        <w:rPr>
          <w:sz w:val="28"/>
          <w:szCs w:val="28"/>
          <w:vertAlign w:val="subscript"/>
        </w:rPr>
        <w:t>в</w:t>
      </w:r>
      <w:r>
        <w:rPr>
          <w:sz w:val="28"/>
          <w:szCs w:val="28"/>
        </w:rPr>
        <w:t>=998,2 кг/м</w:t>
      </w:r>
      <w:r>
        <w:rPr>
          <w:sz w:val="28"/>
          <w:szCs w:val="28"/>
          <w:vertAlign w:val="superscript"/>
        </w:rPr>
        <w:t>3</w:t>
      </w:r>
      <w:r>
        <w:rPr>
          <w:sz w:val="28"/>
          <w:szCs w:val="28"/>
        </w:rPr>
        <w:t>;</w:t>
      </w:r>
    </w:p>
    <w:p>
      <w:pPr>
        <w:pStyle w:val="Style29"/>
        <w:suppressAutoHyphens w:val="true"/>
        <w:spacing w:lineRule="auto" w:line="360"/>
        <w:ind w:left="0" w:firstLine="709"/>
        <w:rPr>
          <w:sz w:val="28"/>
          <w:szCs w:val="28"/>
        </w:rPr>
      </w:pPr>
      <w:r>
        <w:rPr>
          <w:bCs w:val="false"/>
          <w:i/>
          <w:iCs/>
          <w:sz w:val="28"/>
          <w:szCs w:val="28"/>
        </w:rPr>
        <w:t>t</w:t>
      </w:r>
      <w:r>
        <w:rPr>
          <w:bCs w:val="false"/>
          <w:i/>
          <w:iCs/>
          <w:sz w:val="28"/>
          <w:szCs w:val="28"/>
          <w:vertAlign w:val="subscript"/>
        </w:rPr>
        <w:t>м</w:t>
      </w:r>
      <w:r>
        <w:rPr>
          <w:sz w:val="28"/>
          <w:szCs w:val="28"/>
        </w:rPr>
        <w:t xml:space="preserve"> и </w:t>
      </w:r>
      <w:r>
        <w:rPr>
          <w:bCs w:val="false"/>
          <w:i/>
          <w:iCs/>
          <w:sz w:val="28"/>
          <w:szCs w:val="28"/>
        </w:rPr>
        <w:t>t</w:t>
      </w:r>
      <w:r>
        <w:rPr>
          <w:bCs w:val="false"/>
          <w:i/>
          <w:iCs/>
          <w:sz w:val="28"/>
          <w:szCs w:val="28"/>
          <w:vertAlign w:val="subscript"/>
        </w:rPr>
        <w:t>в</w:t>
      </w:r>
      <w:r>
        <w:rPr>
          <w:sz w:val="28"/>
          <w:szCs w:val="28"/>
        </w:rPr>
        <w:t> – время истечения соответственно исследуемого молока и воды из капилляра одного и того же виско</w:t>
        <w:softHyphen/>
        <w:t>зиметра, с.</w:t>
      </w:r>
    </w:p>
    <w:p>
      <w:pPr>
        <w:pStyle w:val="Normal"/>
        <w:spacing w:lineRule="auto" w:line="360" w:before="0" w:after="0"/>
        <w:ind w:firstLine="709"/>
        <w:jc w:val="both"/>
        <w:rPr>
          <w:rFonts w:ascii="Times New Roman" w:hAnsi="Times New Roman" w:eastAsia="Times New Roman" w:cs="Times New Roman"/>
          <w:sz w:val="28"/>
          <w:szCs w:val="28"/>
          <w:lang w:eastAsia="ru-RU"/>
        </w:rPr>
      </w:pPr>
      <w:r>
        <w:rPr>
          <w:rFonts w:cs="Times New Roman" w:ascii="Times New Roman" w:hAnsi="Times New Roman"/>
          <w:sz w:val="28"/>
          <w:szCs w:val="28"/>
        </w:rPr>
        <w:t>Способность образцов сохранять начальные свойства при хранении исследовали методом посева на питательную среду по ГОСТ 32901-2014 и по показателю активной кислотности в соответствии с ГОСТ 32892-2014.</w:t>
      </w:r>
    </w:p>
    <w:p>
      <w:pPr>
        <w:pStyle w:val="Normal"/>
        <w:spacing w:lineRule="auto" w:line="360" w:before="0" w:after="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Математическая обработка данных выполнена с использованием программного обеспечения </w:t>
      </w:r>
      <w:r>
        <w:rPr>
          <w:rFonts w:eastAsia="Times New Roman" w:cs="Times New Roman" w:ascii="Times New Roman" w:hAnsi="Times New Roman"/>
          <w:sz w:val="28"/>
          <w:szCs w:val="28"/>
          <w:lang w:val="en-US" w:eastAsia="ru-RU"/>
        </w:rPr>
        <w:t>Windows</w:t>
      </w:r>
      <w:r>
        <w:rPr>
          <w:rFonts w:eastAsia="Times New Roman" w:cs="Times New Roman" w:ascii="Times New Roman" w:hAnsi="Times New Roman"/>
          <w:sz w:val="28"/>
          <w:szCs w:val="28"/>
          <w:lang w:eastAsia="ru-RU"/>
        </w:rPr>
        <w:t xml:space="preserve"> 10.</w:t>
      </w:r>
    </w:p>
    <w:p>
      <w:pPr>
        <w:pStyle w:val="Normal"/>
        <w:spacing w:lineRule="auto" w:line="360" w:before="0" w:after="0"/>
        <w:ind w:firstLine="709"/>
        <w:contextualSpacing/>
        <w:jc w:val="both"/>
        <w:rPr>
          <w:rFonts w:ascii="Times New Roman" w:hAnsi="Times New Roman" w:cs="Times New Roman"/>
          <w:sz w:val="28"/>
          <w:szCs w:val="28"/>
        </w:rPr>
      </w:pPr>
      <w:r>
        <w:rPr>
          <w:rFonts w:cs="Times New Roman" w:ascii="Times New Roman" w:hAnsi="Times New Roman"/>
          <w:sz w:val="28"/>
          <w:szCs w:val="28"/>
        </w:rPr>
        <w:t>Для приготовления опытных образцов напитка готовили молочную основу. С этой целью брали навеску сухого обезжиренного молока (СОМ) массой 18 г, вносили ее в мерную колбу вместимостью 100 см</w:t>
      </w:r>
      <w:r>
        <w:rPr>
          <w:rFonts w:cs="Times New Roman" w:ascii="Times New Roman" w:hAnsi="Times New Roman"/>
          <w:sz w:val="28"/>
          <w:szCs w:val="28"/>
          <w:vertAlign w:val="superscript"/>
        </w:rPr>
        <w:t>3</w:t>
      </w:r>
      <w:r>
        <w:rPr>
          <w:rFonts w:cs="Times New Roman" w:ascii="Times New Roman" w:hAnsi="Times New Roman"/>
          <w:sz w:val="28"/>
          <w:szCs w:val="28"/>
        </w:rPr>
        <w:t xml:space="preserve"> и доводили содержимое до метки питьевой водой, подогретой до (50±2,0) ℃. При этой же температуре достигали полного растворения СОМ. </w:t>
      </w:r>
    </w:p>
    <w:p>
      <w:pPr>
        <w:pStyle w:val="Normal"/>
        <w:spacing w:lineRule="auto" w:line="360" w:before="0" w:after="0"/>
        <w:ind w:firstLine="709"/>
        <w:contextualSpacing/>
        <w:jc w:val="both"/>
        <w:rPr>
          <w:rFonts w:ascii="Times New Roman" w:hAnsi="Times New Roman" w:cs="Times New Roman"/>
          <w:sz w:val="28"/>
          <w:szCs w:val="28"/>
        </w:rPr>
      </w:pPr>
      <w:r>
        <w:rPr>
          <w:rFonts w:cs="Times New Roman" w:ascii="Times New Roman" w:hAnsi="Times New Roman"/>
          <w:sz w:val="28"/>
          <w:szCs w:val="28"/>
        </w:rPr>
        <w:t>Далее в три мерные колбы вместимостью 100 см</w:t>
      </w:r>
      <w:r>
        <w:rPr>
          <w:rFonts w:cs="Times New Roman" w:ascii="Times New Roman" w:hAnsi="Times New Roman"/>
          <w:sz w:val="28"/>
          <w:szCs w:val="28"/>
          <w:vertAlign w:val="superscript"/>
        </w:rPr>
        <w:t xml:space="preserve">3 </w:t>
      </w:r>
      <w:r>
        <w:rPr>
          <w:rFonts w:cs="Times New Roman" w:ascii="Times New Roman" w:hAnsi="Times New Roman"/>
          <w:sz w:val="28"/>
          <w:szCs w:val="28"/>
        </w:rPr>
        <w:t>вносили по 4 см</w:t>
      </w:r>
      <w:r>
        <w:rPr>
          <w:rFonts w:cs="Times New Roman" w:ascii="Times New Roman" w:hAnsi="Times New Roman"/>
          <w:sz w:val="28"/>
          <w:szCs w:val="28"/>
          <w:vertAlign w:val="superscript"/>
        </w:rPr>
        <w:t>3</w:t>
      </w:r>
      <w:r>
        <w:rPr>
          <w:rFonts w:cs="Times New Roman" w:ascii="Times New Roman" w:hAnsi="Times New Roman"/>
          <w:sz w:val="28"/>
          <w:szCs w:val="28"/>
        </w:rPr>
        <w:t xml:space="preserve"> </w:t>
      </w:r>
      <w:r>
        <w:rPr>
          <w:rFonts w:eastAsia="Calibri" w:cs="Times New Roman" w:ascii="Times New Roman" w:hAnsi="Times New Roman"/>
          <w:sz w:val="28"/>
          <w:szCs w:val="28"/>
        </w:rPr>
        <w:t>сиропа топинамбура</w:t>
      </w:r>
      <w:r>
        <w:rPr>
          <w:rFonts w:cs="Times New Roman" w:ascii="Times New Roman" w:hAnsi="Times New Roman"/>
          <w:sz w:val="28"/>
          <w:szCs w:val="28"/>
        </w:rPr>
        <w:t xml:space="preserve"> и порошок ячменя в количестве 6,5; 7,0; 7,5 г. Добавляли в каждую колбу небольшое количество молочной основы, перемешивали смесь круговыми движениями до растворения, а затем доводили содержимое всех колб до метки молочной основой.</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Приготовленные таким образом образцы напитков пастеризовали при температуре (87±2,0) ℃ в течение 8 секунд и охлаждали до температуры (22,0±2,0) °С, поддерживаемой в течение дегустации и дальнейших испытаний.</w:t>
      </w:r>
    </w:p>
    <w:p>
      <w:pPr>
        <w:pStyle w:val="Normal"/>
        <w:spacing w:lineRule="auto" w:line="360" w:before="0" w:after="0"/>
        <w:ind w:firstLine="709"/>
        <w:jc w:val="both"/>
        <w:rPr>
          <w:rFonts w:ascii="Times New Roman" w:hAnsi="Times New Roman" w:eastAsia="Calibri" w:cs="Times New Roman"/>
          <w:sz w:val="28"/>
          <w:szCs w:val="28"/>
        </w:rPr>
      </w:pPr>
      <w:r>
        <w:rPr>
          <w:rFonts w:cs="Times New Roman" w:ascii="Times New Roman" w:hAnsi="Times New Roman"/>
          <w:sz w:val="28"/>
          <w:szCs w:val="28"/>
        </w:rPr>
        <w:t>Образец напитка оставляли на хранение при температуре (4,0±2,0)°С. Испытания проводили на 10, 15 и 19 сутки с целью определения срока хранения.</w:t>
      </w:r>
    </w:p>
    <w:p>
      <w:pPr>
        <w:pStyle w:val="Normal"/>
        <w:spacing w:lineRule="auto" w:line="36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Надежность полученных данных обеспечена трехкратным повторением на стадии приготовления образцов, а также вычислением статистической достоверности результатов на этапах исследования </w:t>
      </w:r>
      <w:r>
        <w:rPr>
          <w:rFonts w:cs="Times New Roman" w:ascii="Times New Roman" w:hAnsi="Times New Roman"/>
          <w:sz w:val="28"/>
          <w:szCs w:val="28"/>
          <w:lang w:eastAsia="ru-RU"/>
        </w:rPr>
        <w:t>физико-химических и органолептических показателей.</w:t>
      </w:r>
    </w:p>
    <w:p>
      <w:pPr>
        <w:pStyle w:val="Normal"/>
        <w:spacing w:lineRule="auto" w:line="360" w:before="0" w:after="0"/>
        <w:ind w:firstLine="709"/>
        <w:contextualSpacing/>
        <w:jc w:val="center"/>
        <w:rPr>
          <w:rFonts w:ascii="Times New Roman" w:hAnsi="Times New Roman" w:cs="Times New Roman"/>
          <w:b/>
          <w:b/>
          <w:bCs/>
          <w:sz w:val="28"/>
          <w:szCs w:val="28"/>
          <w:lang w:eastAsia="ru-RU"/>
        </w:rPr>
      </w:pPr>
      <w:r>
        <w:rPr>
          <w:rFonts w:cs="Times New Roman" w:ascii="Times New Roman" w:hAnsi="Times New Roman"/>
          <w:b/>
          <w:bCs/>
          <w:sz w:val="28"/>
          <w:szCs w:val="28"/>
          <w:lang w:eastAsia="ru-RU"/>
        </w:rPr>
        <w:t>Результаты</w:t>
      </w:r>
    </w:p>
    <w:p>
      <w:pPr>
        <w:pStyle w:val="Normal"/>
        <w:spacing w:lineRule="auto" w:line="360" w:before="0" w:after="0"/>
        <w:ind w:firstLine="709"/>
        <w:contextualSpacing/>
        <w:jc w:val="both"/>
        <w:rPr>
          <w:rFonts w:ascii="Times New Roman" w:hAnsi="Times New Roman" w:cs="Times New Roman"/>
          <w:sz w:val="28"/>
          <w:szCs w:val="28"/>
          <w:lang w:eastAsia="ru-RU"/>
        </w:rPr>
      </w:pPr>
      <w:r>
        <w:rPr>
          <w:rFonts w:cs="Times New Roman" w:ascii="Times New Roman" w:hAnsi="Times New Roman"/>
          <w:sz w:val="28"/>
          <w:szCs w:val="28"/>
          <w:lang w:eastAsia="ru-RU"/>
        </w:rPr>
        <w:t xml:space="preserve">Органолептические и физико-химические характеристики СОМ соответствовали требованиям действующего </w:t>
      </w:r>
      <w:r>
        <w:rPr>
          <w:rFonts w:cs="Times New Roman" w:ascii="Times New Roman" w:hAnsi="Times New Roman"/>
          <w:sz w:val="28"/>
          <w:szCs w:val="28"/>
        </w:rPr>
        <w:t xml:space="preserve">ГОСТ Р 52791-2007 </w:t>
      </w:r>
      <w:r>
        <w:rPr>
          <w:rFonts w:cs="Times New Roman" w:ascii="Times New Roman" w:hAnsi="Times New Roman"/>
          <w:sz w:val="28"/>
          <w:szCs w:val="28"/>
          <w:lang w:eastAsia="ru-RU"/>
        </w:rPr>
        <w:t>на данный продукт. По микробиологическим показателям и показателям безопасности сухое обезжиренное молоко соответствовало требованиям Технического Регламента Таможенного союза (Технический регламент Таможенного союза «О безопасности пищевой продукции» (ТР ТС 021/2011); Технический регламент Таможенного союза «О безопасности молока и молочной продукции» (ТР ТС 033/2013)).</w:t>
      </w:r>
    </w:p>
    <w:p>
      <w:pPr>
        <w:pStyle w:val="Normal"/>
        <w:spacing w:lineRule="auto" w:line="360" w:before="0" w:after="0"/>
        <w:ind w:firstLine="709"/>
        <w:jc w:val="both"/>
        <w:rPr>
          <w:rFonts w:ascii="Times New Roman" w:hAnsi="Times New Roman" w:eastAsia="Calibri" w:cs="Times New Roman"/>
          <w:sz w:val="28"/>
          <w:szCs w:val="28"/>
        </w:rPr>
      </w:pPr>
      <w:r>
        <w:rPr>
          <w:rFonts w:eastAsia="Calibri" w:cs="Times New Roman" w:ascii="Times New Roman" w:hAnsi="Times New Roman"/>
          <w:sz w:val="28"/>
          <w:szCs w:val="28"/>
        </w:rPr>
        <w:t>Индекс растворимости СОМ был равен 0 см</w:t>
      </w:r>
      <w:r>
        <w:rPr>
          <w:rFonts w:eastAsia="Calibri" w:cs="Times New Roman" w:ascii="Times New Roman" w:hAnsi="Times New Roman"/>
          <w:sz w:val="28"/>
          <w:szCs w:val="28"/>
          <w:vertAlign w:val="superscript"/>
        </w:rPr>
        <w:t>3</w:t>
      </w:r>
      <w:r>
        <w:rPr>
          <w:rFonts w:eastAsia="Calibri" w:cs="Times New Roman" w:ascii="Times New Roman" w:hAnsi="Times New Roman"/>
          <w:sz w:val="28"/>
          <w:szCs w:val="28"/>
        </w:rPr>
        <w:t xml:space="preserve">, что указывает на высокую способность данного ингредиента растворяться в воде и чрезвычайно важно в технологическом плане. </w:t>
      </w:r>
    </w:p>
    <w:p>
      <w:pPr>
        <w:pStyle w:val="Normal"/>
        <w:spacing w:lineRule="auto" w:line="360" w:before="0" w:after="0"/>
        <w:ind w:firstLine="709"/>
        <w:contextualSpacing/>
        <w:jc w:val="both"/>
        <w:rPr>
          <w:rFonts w:ascii="Times New Roman" w:hAnsi="Times New Roman" w:eastAsia="Calibri" w:cs="Times New Roman"/>
          <w:sz w:val="28"/>
          <w:szCs w:val="28"/>
        </w:rPr>
      </w:pPr>
      <w:r>
        <w:rPr>
          <w:rFonts w:eastAsia="Calibri" w:cs="Times New Roman" w:ascii="Times New Roman" w:hAnsi="Times New Roman"/>
          <w:sz w:val="28"/>
          <w:szCs w:val="28"/>
        </w:rPr>
        <w:t>Состав, пищевая и энергетическая ценность опытных образцов и контрольной пробы представлены в таблице 1.</w:t>
      </w:r>
    </w:p>
    <w:p>
      <w:pPr>
        <w:pStyle w:val="Normal"/>
        <w:spacing w:lineRule="auto" w:line="360" w:before="0" w:after="0"/>
        <w:contextualSpacing/>
        <w:jc w:val="both"/>
        <w:rPr>
          <w:rFonts w:ascii="Times New Roman" w:hAnsi="Times New Roman" w:eastAsia="Calibri" w:cs="Times New Roman"/>
          <w:sz w:val="28"/>
          <w:szCs w:val="28"/>
        </w:rPr>
      </w:pPr>
      <w:r>
        <w:rPr>
          <w:rFonts w:eastAsia="Calibri" w:cs="Times New Roman" w:ascii="Times New Roman" w:hAnsi="Times New Roman"/>
          <w:sz w:val="28"/>
          <w:szCs w:val="28"/>
        </w:rPr>
        <w:t xml:space="preserve">Таблица 1 </w:t>
      </w:r>
    </w:p>
    <w:p>
      <w:pPr>
        <w:pStyle w:val="Normal"/>
        <w:spacing w:lineRule="auto" w:line="360" w:before="0" w:after="0"/>
        <w:contextualSpacing/>
        <w:jc w:val="both"/>
        <w:rPr>
          <w:rFonts w:ascii="Times New Roman" w:hAnsi="Times New Roman" w:eastAsia="Calibri" w:cs="Times New Roman"/>
          <w:i/>
          <w:i/>
          <w:iCs/>
          <w:sz w:val="28"/>
          <w:szCs w:val="28"/>
        </w:rPr>
      </w:pPr>
      <w:r>
        <w:rPr>
          <w:rFonts w:eastAsia="Calibri" w:cs="Times New Roman" w:ascii="Times New Roman" w:hAnsi="Times New Roman"/>
          <w:i/>
          <w:iCs/>
          <w:sz w:val="28"/>
          <w:szCs w:val="28"/>
        </w:rPr>
        <w:t xml:space="preserve">Состав и энергетическая ценность готовых образцов </w:t>
      </w:r>
    </w:p>
    <w:tbl>
      <w:tblPr>
        <w:tblW w:w="9749"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1281"/>
        <w:gridCol w:w="992"/>
        <w:gridCol w:w="845"/>
        <w:gridCol w:w="850"/>
        <w:gridCol w:w="851"/>
        <w:gridCol w:w="1277"/>
        <w:gridCol w:w="1275"/>
        <w:gridCol w:w="2376"/>
      </w:tblGrid>
      <w:tr>
        <w:trPr>
          <w:trHeight w:val="338" w:hRule="atLeast"/>
        </w:trPr>
        <w:tc>
          <w:tcPr>
            <w:tcW w:w="1281" w:type="dxa"/>
            <w:vMerge w:val="restart"/>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 xml:space="preserve">№ </w:t>
            </w:r>
            <w:r>
              <w:rPr>
                <w:rFonts w:eastAsia="Calibri" w:cs="Times New Roman" w:ascii="Times New Roman" w:hAnsi="Times New Roman"/>
                <w:bCs/>
                <w:sz w:val="24"/>
                <w:szCs w:val="24"/>
              </w:rPr>
              <w:t>образца</w:t>
            </w:r>
          </w:p>
        </w:tc>
        <w:tc>
          <w:tcPr>
            <w:tcW w:w="992" w:type="dxa"/>
            <w:vMerge w:val="restart"/>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Масса ячменя г</w:t>
            </w:r>
          </w:p>
        </w:tc>
        <w:tc>
          <w:tcPr>
            <w:tcW w:w="5098" w:type="dxa"/>
            <w:gridSpan w:val="5"/>
            <w:tcBorders>
              <w:top w:val="single" w:sz="4" w:space="0" w:color="000000"/>
              <w:bottom w:val="single" w:sz="4" w:space="0" w:color="000000"/>
            </w:tcBorders>
            <w:vAlign w:val="center"/>
          </w:tcPr>
          <w:p>
            <w:pPr>
              <w:pStyle w:val="Normal"/>
              <w:widowControl w:val="false"/>
              <w:suppressAutoHyphens w:val="true"/>
              <w:spacing w:lineRule="auto" w:line="360" w:before="0" w:after="0"/>
              <w:ind w:firstLine="709"/>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Массовая доля, %</w:t>
            </w:r>
          </w:p>
        </w:tc>
        <w:tc>
          <w:tcPr>
            <w:tcW w:w="2376" w:type="dxa"/>
            <w:vMerge w:val="restart"/>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Калорийность, ккал /</w:t>
            </w:r>
            <w:r>
              <w:rPr>
                <w:rFonts w:eastAsia="Calibri" w:cs="Times New Roman" w:ascii="Times New Roman" w:hAnsi="Times New Roman"/>
                <w:bCs/>
                <w:spacing w:val="1"/>
                <w:sz w:val="24"/>
                <w:szCs w:val="24"/>
              </w:rPr>
              <w:t xml:space="preserve"> </w:t>
            </w:r>
            <w:r>
              <w:rPr>
                <w:rFonts w:eastAsia="Calibri" w:cs="Times New Roman" w:ascii="Times New Roman" w:hAnsi="Times New Roman"/>
                <w:bCs/>
                <w:sz w:val="24"/>
                <w:szCs w:val="24"/>
              </w:rPr>
              <w:t>Энергетическая</w:t>
            </w:r>
            <w:r>
              <w:rPr>
                <w:rFonts w:eastAsia="Calibri" w:cs="Times New Roman" w:ascii="Times New Roman" w:hAnsi="Times New Roman"/>
                <w:bCs/>
                <w:spacing w:val="-6"/>
                <w:sz w:val="24"/>
                <w:szCs w:val="24"/>
              </w:rPr>
              <w:t xml:space="preserve"> </w:t>
            </w:r>
            <w:r>
              <w:rPr>
                <w:rFonts w:eastAsia="Calibri" w:cs="Times New Roman" w:ascii="Times New Roman" w:hAnsi="Times New Roman"/>
                <w:bCs/>
                <w:sz w:val="24"/>
                <w:szCs w:val="24"/>
              </w:rPr>
              <w:t>ценность,</w:t>
            </w:r>
            <w:r>
              <w:rPr>
                <w:rFonts w:eastAsia="Calibri" w:cs="Times New Roman" w:ascii="Times New Roman" w:hAnsi="Times New Roman"/>
                <w:bCs/>
                <w:spacing w:val="-6"/>
                <w:sz w:val="24"/>
                <w:szCs w:val="24"/>
              </w:rPr>
              <w:t xml:space="preserve"> </w:t>
            </w:r>
            <w:r>
              <w:rPr>
                <w:rFonts w:eastAsia="Calibri" w:cs="Times New Roman" w:ascii="Times New Roman" w:hAnsi="Times New Roman"/>
                <w:bCs/>
                <w:sz w:val="24"/>
                <w:szCs w:val="24"/>
              </w:rPr>
              <w:t>кДж</w:t>
            </w:r>
          </w:p>
        </w:tc>
      </w:tr>
      <w:tr>
        <w:trPr>
          <w:trHeight w:val="338" w:hRule="atLeast"/>
        </w:trPr>
        <w:tc>
          <w:tcPr>
            <w:tcW w:w="1281" w:type="dxa"/>
            <w:vMerge w:val="continue"/>
            <w:tcBorders>
              <w:top w:val="single" w:sz="4" w:space="0" w:color="000000"/>
              <w:bottom w:val="single" w:sz="4" w:space="0" w:color="000000"/>
            </w:tcBorders>
            <w:vAlign w:val="center"/>
          </w:tcPr>
          <w:p>
            <w:pPr>
              <w:pStyle w:val="Normal"/>
              <w:widowControl w:val="false"/>
              <w:spacing w:lineRule="auto" w:line="360" w:before="0" w:after="0"/>
              <w:rPr>
                <w:rFonts w:ascii="Times New Roman" w:hAnsi="Times New Roman" w:eastAsia="Calibri" w:cs="Times New Roman"/>
                <w:bCs/>
                <w:sz w:val="24"/>
                <w:szCs w:val="24"/>
              </w:rPr>
            </w:pPr>
            <w:r>
              <w:rPr>
                <w:rFonts w:eastAsia="Calibri" w:cs="Times New Roman" w:ascii="Times New Roman" w:hAnsi="Times New Roman"/>
                <w:bCs/>
                <w:sz w:val="24"/>
                <w:szCs w:val="24"/>
              </w:rPr>
            </w:r>
          </w:p>
        </w:tc>
        <w:tc>
          <w:tcPr>
            <w:tcW w:w="992" w:type="dxa"/>
            <w:vMerge w:val="continue"/>
            <w:tcBorders>
              <w:top w:val="single" w:sz="4" w:space="0" w:color="000000"/>
              <w:bottom w:val="single" w:sz="4" w:space="0" w:color="000000"/>
            </w:tcBorders>
            <w:vAlign w:val="center"/>
          </w:tcPr>
          <w:p>
            <w:pPr>
              <w:pStyle w:val="Normal"/>
              <w:widowControl w:val="false"/>
              <w:spacing w:lineRule="auto" w:line="360" w:before="0" w:after="0"/>
              <w:rPr>
                <w:rFonts w:ascii="Times New Roman" w:hAnsi="Times New Roman" w:eastAsia="Calibri" w:cs="Times New Roman"/>
                <w:bCs/>
                <w:sz w:val="24"/>
                <w:szCs w:val="24"/>
              </w:rPr>
            </w:pPr>
            <w:r>
              <w:rPr>
                <w:rFonts w:eastAsia="Calibri" w:cs="Times New Roman" w:ascii="Times New Roman" w:hAnsi="Times New Roman"/>
                <w:bCs/>
                <w:sz w:val="24"/>
                <w:szCs w:val="24"/>
              </w:rPr>
            </w:r>
          </w:p>
        </w:tc>
        <w:tc>
          <w:tcPr>
            <w:tcW w:w="845"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 xml:space="preserve">СОМ </w:t>
            </w:r>
          </w:p>
        </w:tc>
        <w:tc>
          <w:tcPr>
            <w:tcW w:w="850"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Белок</w:t>
            </w:r>
          </w:p>
        </w:tc>
        <w:tc>
          <w:tcPr>
            <w:tcW w:w="851"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Жир</w:t>
            </w:r>
          </w:p>
        </w:tc>
        <w:tc>
          <w:tcPr>
            <w:tcW w:w="1277"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Углеводы</w:t>
            </w:r>
          </w:p>
        </w:tc>
        <w:tc>
          <w:tcPr>
            <w:tcW w:w="1275"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Сухие вещества</w:t>
            </w:r>
          </w:p>
        </w:tc>
        <w:tc>
          <w:tcPr>
            <w:tcW w:w="2376" w:type="dxa"/>
            <w:vMerge w:val="continue"/>
            <w:tcBorders>
              <w:top w:val="single" w:sz="4" w:space="0" w:color="000000"/>
              <w:bottom w:val="single" w:sz="4" w:space="0" w:color="000000"/>
            </w:tcBorders>
            <w:vAlign w:val="center"/>
          </w:tcPr>
          <w:p>
            <w:pPr>
              <w:pStyle w:val="Normal"/>
              <w:widowControl w:val="false"/>
              <w:spacing w:lineRule="auto" w:line="360" w:before="0" w:after="0"/>
              <w:rPr>
                <w:rFonts w:ascii="Times New Roman" w:hAnsi="Times New Roman" w:eastAsia="Calibri" w:cs="Times New Roman"/>
                <w:bCs/>
                <w:sz w:val="24"/>
                <w:szCs w:val="24"/>
              </w:rPr>
            </w:pPr>
            <w:r>
              <w:rPr>
                <w:rFonts w:eastAsia="Calibri" w:cs="Times New Roman" w:ascii="Times New Roman" w:hAnsi="Times New Roman"/>
                <w:bCs/>
                <w:sz w:val="24"/>
                <w:szCs w:val="24"/>
              </w:rPr>
            </w:r>
          </w:p>
        </w:tc>
      </w:tr>
      <w:tr>
        <w:trPr>
          <w:trHeight w:val="324" w:hRule="atLeast"/>
        </w:trPr>
        <w:tc>
          <w:tcPr>
            <w:tcW w:w="1281"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контроль</w:t>
            </w:r>
          </w:p>
        </w:tc>
        <w:tc>
          <w:tcPr>
            <w:tcW w:w="992"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0</w:t>
            </w:r>
          </w:p>
        </w:tc>
        <w:tc>
          <w:tcPr>
            <w:tcW w:w="845"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18,0</w:t>
            </w:r>
          </w:p>
        </w:tc>
        <w:tc>
          <w:tcPr>
            <w:tcW w:w="850"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7,19</w:t>
            </w:r>
          </w:p>
        </w:tc>
        <w:tc>
          <w:tcPr>
            <w:tcW w:w="851"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0,18</w:t>
            </w:r>
          </w:p>
        </w:tc>
        <w:tc>
          <w:tcPr>
            <w:tcW w:w="1277"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10,08</w:t>
            </w:r>
          </w:p>
        </w:tc>
        <w:tc>
          <w:tcPr>
            <w:tcW w:w="1275"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17,30</w:t>
            </w:r>
          </w:p>
        </w:tc>
        <w:tc>
          <w:tcPr>
            <w:tcW w:w="2376"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71 / 300</w:t>
            </w:r>
          </w:p>
        </w:tc>
      </w:tr>
      <w:tr>
        <w:trPr>
          <w:trHeight w:val="324" w:hRule="atLeast"/>
        </w:trPr>
        <w:tc>
          <w:tcPr>
            <w:tcW w:w="1281"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1</w:t>
            </w:r>
          </w:p>
        </w:tc>
        <w:tc>
          <w:tcPr>
            <w:tcW w:w="992"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6,5</w:t>
            </w:r>
          </w:p>
        </w:tc>
        <w:tc>
          <w:tcPr>
            <w:tcW w:w="845"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18,0</w:t>
            </w:r>
          </w:p>
        </w:tc>
        <w:tc>
          <w:tcPr>
            <w:tcW w:w="850"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highlight w:val="yellow"/>
              </w:rPr>
            </w:pPr>
            <w:r>
              <w:rPr>
                <w:rFonts w:eastAsia="Calibri" w:cs="Times New Roman" w:ascii="Times New Roman" w:hAnsi="Times New Roman"/>
                <w:bCs/>
                <w:sz w:val="24"/>
                <w:szCs w:val="24"/>
              </w:rPr>
              <w:t>7,75</w:t>
            </w:r>
          </w:p>
        </w:tc>
        <w:tc>
          <w:tcPr>
            <w:tcW w:w="851"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highlight w:val="yellow"/>
              </w:rPr>
            </w:pPr>
            <w:r>
              <w:rPr>
                <w:rFonts w:eastAsia="Calibri" w:cs="Times New Roman" w:ascii="Times New Roman" w:hAnsi="Times New Roman"/>
                <w:bCs/>
                <w:sz w:val="24"/>
                <w:szCs w:val="24"/>
              </w:rPr>
              <w:t>0,18</w:t>
            </w:r>
          </w:p>
        </w:tc>
        <w:tc>
          <w:tcPr>
            <w:tcW w:w="1277"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highlight w:val="yellow"/>
              </w:rPr>
            </w:pPr>
            <w:r>
              <w:rPr>
                <w:rFonts w:eastAsia="Calibri" w:cs="Times New Roman" w:ascii="Times New Roman" w:hAnsi="Times New Roman"/>
                <w:bCs/>
                <w:sz w:val="24"/>
                <w:szCs w:val="24"/>
              </w:rPr>
              <w:t>15,74</w:t>
            </w:r>
          </w:p>
        </w:tc>
        <w:tc>
          <w:tcPr>
            <w:tcW w:w="1275"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highlight w:val="yellow"/>
              </w:rPr>
            </w:pPr>
            <w:r>
              <w:rPr>
                <w:rFonts w:eastAsia="Calibri" w:cs="Times New Roman" w:ascii="Times New Roman" w:hAnsi="Times New Roman"/>
                <w:bCs/>
                <w:sz w:val="24"/>
                <w:szCs w:val="24"/>
              </w:rPr>
              <w:t>23,85</w:t>
            </w:r>
          </w:p>
        </w:tc>
        <w:tc>
          <w:tcPr>
            <w:tcW w:w="2376"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96 / 406</w:t>
            </w:r>
          </w:p>
        </w:tc>
      </w:tr>
      <w:tr>
        <w:trPr>
          <w:trHeight w:val="324" w:hRule="atLeast"/>
        </w:trPr>
        <w:tc>
          <w:tcPr>
            <w:tcW w:w="1281"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2</w:t>
            </w:r>
          </w:p>
        </w:tc>
        <w:tc>
          <w:tcPr>
            <w:tcW w:w="992"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7,0</w:t>
            </w:r>
          </w:p>
        </w:tc>
        <w:tc>
          <w:tcPr>
            <w:tcW w:w="845"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18,0</w:t>
            </w:r>
          </w:p>
        </w:tc>
        <w:tc>
          <w:tcPr>
            <w:tcW w:w="850"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highlight w:val="yellow"/>
              </w:rPr>
            </w:pPr>
            <w:r>
              <w:rPr>
                <w:rFonts w:eastAsia="Calibri" w:cs="Times New Roman" w:ascii="Times New Roman" w:hAnsi="Times New Roman"/>
                <w:bCs/>
                <w:sz w:val="24"/>
                <w:szCs w:val="24"/>
              </w:rPr>
              <w:t>7,80</w:t>
            </w:r>
          </w:p>
        </w:tc>
        <w:tc>
          <w:tcPr>
            <w:tcW w:w="851"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highlight w:val="yellow"/>
              </w:rPr>
            </w:pPr>
            <w:r>
              <w:rPr>
                <w:rFonts w:eastAsia="Calibri" w:cs="Times New Roman" w:ascii="Times New Roman" w:hAnsi="Times New Roman"/>
                <w:bCs/>
                <w:sz w:val="24"/>
                <w:szCs w:val="24"/>
              </w:rPr>
              <w:t>0,20</w:t>
            </w:r>
          </w:p>
        </w:tc>
        <w:tc>
          <w:tcPr>
            <w:tcW w:w="1277"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highlight w:val="yellow"/>
              </w:rPr>
            </w:pPr>
            <w:r>
              <w:rPr>
                <w:rFonts w:eastAsia="Calibri" w:cs="Times New Roman" w:ascii="Times New Roman" w:hAnsi="Times New Roman"/>
                <w:bCs/>
                <w:sz w:val="24"/>
                <w:szCs w:val="24"/>
              </w:rPr>
              <w:t>16,03</w:t>
            </w:r>
          </w:p>
        </w:tc>
        <w:tc>
          <w:tcPr>
            <w:tcW w:w="1275"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highlight w:val="yellow"/>
              </w:rPr>
            </w:pPr>
            <w:r>
              <w:rPr>
                <w:rFonts w:eastAsia="Calibri" w:cs="Times New Roman" w:ascii="Times New Roman" w:hAnsi="Times New Roman"/>
                <w:bCs/>
                <w:sz w:val="24"/>
                <w:szCs w:val="24"/>
              </w:rPr>
              <w:t>24,20</w:t>
            </w:r>
          </w:p>
        </w:tc>
        <w:tc>
          <w:tcPr>
            <w:tcW w:w="2376"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97 / 413</w:t>
            </w:r>
          </w:p>
        </w:tc>
      </w:tr>
      <w:tr>
        <w:trPr>
          <w:trHeight w:val="338" w:hRule="atLeast"/>
        </w:trPr>
        <w:tc>
          <w:tcPr>
            <w:tcW w:w="1281"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3</w:t>
            </w:r>
          </w:p>
        </w:tc>
        <w:tc>
          <w:tcPr>
            <w:tcW w:w="992"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7,5</w:t>
            </w:r>
          </w:p>
        </w:tc>
        <w:tc>
          <w:tcPr>
            <w:tcW w:w="845"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18,0</w:t>
            </w:r>
          </w:p>
        </w:tc>
        <w:tc>
          <w:tcPr>
            <w:tcW w:w="850"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7,85</w:t>
            </w:r>
          </w:p>
        </w:tc>
        <w:tc>
          <w:tcPr>
            <w:tcW w:w="851"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0,21</w:t>
            </w:r>
          </w:p>
        </w:tc>
        <w:tc>
          <w:tcPr>
            <w:tcW w:w="1277"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16,32</w:t>
            </w:r>
          </w:p>
        </w:tc>
        <w:tc>
          <w:tcPr>
            <w:tcW w:w="1275"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24,55</w:t>
            </w:r>
          </w:p>
        </w:tc>
        <w:tc>
          <w:tcPr>
            <w:tcW w:w="2376" w:type="dxa"/>
            <w:tcBorders>
              <w:top w:val="single" w:sz="4" w:space="0" w:color="000000"/>
              <w:bottom w:val="single" w:sz="4" w:space="0" w:color="000000"/>
            </w:tcBorders>
            <w:vAlign w:val="center"/>
          </w:tcPr>
          <w:p>
            <w:pPr>
              <w:pStyle w:val="Normal"/>
              <w:widowControl w:val="false"/>
              <w:suppressAutoHyphens w:val="true"/>
              <w:spacing w:lineRule="auto" w:line="360" w:before="0" w:after="0"/>
              <w:contextualSpacing/>
              <w:jc w:val="center"/>
              <w:rPr>
                <w:rFonts w:ascii="Times New Roman" w:hAnsi="Times New Roman" w:eastAsia="Calibri" w:cs="Times New Roman"/>
                <w:bCs/>
                <w:sz w:val="24"/>
                <w:szCs w:val="24"/>
              </w:rPr>
            </w:pPr>
            <w:r>
              <w:rPr>
                <w:rFonts w:eastAsia="Calibri" w:cs="Times New Roman" w:ascii="Times New Roman" w:hAnsi="Times New Roman"/>
                <w:bCs/>
                <w:sz w:val="24"/>
                <w:szCs w:val="24"/>
              </w:rPr>
              <w:t>99 / 419</w:t>
            </w:r>
          </w:p>
        </w:tc>
      </w:tr>
    </w:tbl>
    <w:p>
      <w:pPr>
        <w:pStyle w:val="Normal"/>
        <w:spacing w:lineRule="auto" w:line="240" w:before="0" w:after="0"/>
        <w:ind w:firstLine="709"/>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ind w:firstLine="709"/>
        <w:contextualSpacing/>
        <w:jc w:val="both"/>
        <w:rPr>
          <w:rFonts w:ascii="Times New Roman" w:hAnsi="Times New Roman" w:cs="Times New Roman"/>
          <w:sz w:val="28"/>
          <w:szCs w:val="28"/>
        </w:rPr>
      </w:pPr>
      <w:r>
        <w:rPr>
          <w:rFonts w:cs="Times New Roman" w:ascii="Times New Roman" w:hAnsi="Times New Roman"/>
          <w:sz w:val="28"/>
          <w:szCs w:val="28"/>
        </w:rPr>
        <w:t>Как видно из данных таблицы 1, все образцы по количеству массовой доли белка соответствовали определению «с высоким содержанием белка», согласно ГОСТ Р 55577-2013, поскольку белком обеспечивается более 30 % энергетической ценности продукта.</w:t>
      </w:r>
    </w:p>
    <w:p>
      <w:pPr>
        <w:pStyle w:val="Normal"/>
        <w:spacing w:lineRule="auto" w:line="360" w:before="0" w:after="0"/>
        <w:ind w:firstLine="709"/>
        <w:contextualSpacing/>
        <w:jc w:val="both"/>
        <w:rPr>
          <w:rFonts w:ascii="Times New Roman" w:hAnsi="Times New Roman" w:cs="Times New Roman"/>
          <w:sz w:val="28"/>
          <w:szCs w:val="28"/>
        </w:rPr>
      </w:pPr>
      <w:r>
        <w:rPr>
          <w:rFonts w:cs="Times New Roman" w:ascii="Times New Roman" w:hAnsi="Times New Roman"/>
          <w:sz w:val="28"/>
          <w:szCs w:val="28"/>
        </w:rPr>
        <w:t>Результаты органолептической оценки наглядно представлены на профилограмме (рисунок 1).</w:t>
      </w:r>
    </w:p>
    <w:p>
      <w:pPr>
        <w:pStyle w:val="Normal"/>
        <w:spacing w:before="0" w:after="0"/>
        <w:ind w:firstLine="709"/>
        <w:contextualSpacing/>
        <w:jc w:val="center"/>
        <w:rPr>
          <w:rFonts w:ascii="Times New Roman" w:hAnsi="Times New Roman" w:cs="Times New Roman"/>
          <w:sz w:val="24"/>
          <w:szCs w:val="24"/>
        </w:rPr>
      </w:pPr>
      <w:r>
        <w:rPr/>
        <w:drawing>
          <wp:inline distT="0" distB="0" distL="0" distR="0">
            <wp:extent cx="5067300" cy="2219325"/>
            <wp:effectExtent l="0" t="0" r="0" b="0"/>
            <wp:docPr id="1"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2"/>
              </a:graphicData>
            </a:graphic>
          </wp:inline>
        </w:drawing>
      </w:r>
    </w:p>
    <w:p>
      <w:pPr>
        <w:pStyle w:val="Normal"/>
        <w:spacing w:lineRule="auto" w:line="360" w:before="0" w:after="0"/>
        <w:contextualSpacing/>
        <w:jc w:val="both"/>
        <w:rPr>
          <w:rFonts w:ascii="Times New Roman" w:hAnsi="Times New Roman" w:cs="Times New Roman"/>
          <w:sz w:val="28"/>
          <w:szCs w:val="28"/>
        </w:rPr>
      </w:pPr>
      <w:r>
        <w:rPr>
          <w:rFonts w:cs="Times New Roman" w:ascii="Times New Roman" w:hAnsi="Times New Roman"/>
          <w:i/>
          <w:iCs/>
          <w:sz w:val="28"/>
          <w:szCs w:val="28"/>
        </w:rPr>
        <w:t>Рисунок 1.</w:t>
      </w:r>
      <w:r>
        <w:rPr>
          <w:rFonts w:cs="Times New Roman" w:ascii="Times New Roman" w:hAnsi="Times New Roman"/>
          <w:sz w:val="28"/>
          <w:szCs w:val="28"/>
        </w:rPr>
        <w:t xml:space="preserve"> Итоговая органолептическая оценка свежеприготовленных образцов </w:t>
      </w:r>
    </w:p>
    <w:p>
      <w:pPr>
        <w:pStyle w:val="Normal"/>
        <w:spacing w:lineRule="auto" w:line="360" w:before="0" w:after="0"/>
        <w:ind w:firstLine="709"/>
        <w:contextualSpacing/>
        <w:jc w:val="both"/>
        <w:rPr>
          <w:rFonts w:ascii="Times New Roman" w:hAnsi="Times New Roman" w:cs="Times New Roman"/>
          <w:sz w:val="28"/>
          <w:szCs w:val="28"/>
        </w:rPr>
      </w:pPr>
      <w:r>
        <w:rPr>
          <w:rFonts w:cs="Times New Roman" w:ascii="Times New Roman" w:hAnsi="Times New Roman"/>
          <w:sz w:val="28"/>
          <w:szCs w:val="28"/>
        </w:rPr>
        <w:t xml:space="preserve">Все образцы имели сладковатый молочный вкус. Однако, в образце 1, содержащем </w:t>
        <w:br/>
        <w:t>6,5 % порошка ячменя, зерновой вкус ячменного напитка не был выражен достаточно. Образец 2, содержащий 7,0 % ячменного порошка, обладал гармоничным молочно-зерновым вкусом, подобным вкусу кофе с молоком. При содержании в рецептуре напитка 7,0 % порошка ячменя, в образце 3 был отмечен горьковатый привкус. Запах образцов всех трех вариантов был приятным молочно-зерновым. Консистенция всех образцов была однородной, без комочков. Образцы имели светло-коричневый цвет, соответствующий ячменному напитку.</w:t>
      </w:r>
    </w:p>
    <w:p>
      <w:pPr>
        <w:pStyle w:val="Normal"/>
        <w:suppressAutoHyphens w:val="true"/>
        <w:spacing w:lineRule="auto" w:line="360" w:before="0" w:after="0"/>
        <w:ind w:firstLine="709"/>
        <w:contextualSpacing/>
        <w:jc w:val="both"/>
        <w:rPr>
          <w:rFonts w:ascii="Times New Roman" w:hAnsi="Times New Roman" w:eastAsia="Calibri" w:cs="Times New Roman"/>
          <w:sz w:val="28"/>
          <w:szCs w:val="28"/>
          <w:highlight w:val="yellow"/>
        </w:rPr>
      </w:pPr>
      <w:r>
        <w:rPr>
          <w:rFonts w:eastAsia="Calibri" w:cs="Times New Roman" w:ascii="Times New Roman" w:hAnsi="Times New Roman"/>
          <w:sz w:val="28"/>
          <w:szCs w:val="28"/>
        </w:rPr>
        <w:t xml:space="preserve">На протяжении 15 суток хранения при (4±2) </w:t>
      </w:r>
      <w:r>
        <w:rPr>
          <w:rFonts w:eastAsia="Calibri" w:cs="Times New Roman" w:ascii="Times New Roman" w:hAnsi="Times New Roman"/>
          <w:sz w:val="28"/>
          <w:szCs w:val="28"/>
          <w:vertAlign w:val="superscript"/>
        </w:rPr>
        <w:t>о</w:t>
      </w:r>
      <w:r>
        <w:rPr>
          <w:rFonts w:eastAsia="Calibri" w:cs="Times New Roman" w:ascii="Times New Roman" w:hAnsi="Times New Roman"/>
          <w:sz w:val="28"/>
          <w:szCs w:val="28"/>
        </w:rPr>
        <w:t xml:space="preserve">С, внешний вид и вкусовые характеристики образцов не менялись. </w:t>
      </w:r>
    </w:p>
    <w:p>
      <w:pPr>
        <w:pStyle w:val="Normal"/>
        <w:suppressAutoHyphens w:val="true"/>
        <w:spacing w:lineRule="auto" w:line="360" w:before="0" w:after="0"/>
        <w:ind w:firstLine="709"/>
        <w:contextualSpacing/>
        <w:jc w:val="both"/>
        <w:rPr>
          <w:rFonts w:ascii="Times New Roman" w:hAnsi="Times New Roman" w:eastAsia="Calibri" w:cs="Times New Roman"/>
          <w:sz w:val="28"/>
          <w:szCs w:val="28"/>
        </w:rPr>
      </w:pPr>
      <w:r>
        <w:rPr>
          <w:rFonts w:cs="Times New Roman" w:ascii="Times New Roman" w:hAnsi="Times New Roman"/>
          <w:sz w:val="28"/>
          <w:szCs w:val="28"/>
        </w:rPr>
        <w:t xml:space="preserve">Контроль органолептических показателей и активной кислотности на 19-е сутки показал начало порчи образцов. Во всех образцах появился слабый кисловатый запах, свидетельствующий о развитии нежелательных микробиологических процессов. </w:t>
      </w:r>
      <w:r>
        <w:rPr>
          <w:rFonts w:eastAsia="Calibri" w:cs="Times New Roman" w:ascii="Times New Roman" w:hAnsi="Times New Roman"/>
          <w:sz w:val="28"/>
          <w:szCs w:val="28"/>
        </w:rPr>
        <w:t xml:space="preserve">Сравнение активной кислотности образцов сразу после получения и на 19-е сутки хранения при (4±2) </w:t>
      </w:r>
      <w:r>
        <w:rPr>
          <w:rFonts w:eastAsia="Calibri" w:cs="Times New Roman" w:ascii="Times New Roman" w:hAnsi="Times New Roman"/>
          <w:sz w:val="28"/>
          <w:szCs w:val="28"/>
          <w:vertAlign w:val="superscript"/>
        </w:rPr>
        <w:t>о</w:t>
      </w:r>
      <w:r>
        <w:rPr>
          <w:rFonts w:eastAsia="Calibri" w:cs="Times New Roman" w:ascii="Times New Roman" w:hAnsi="Times New Roman"/>
          <w:sz w:val="28"/>
          <w:szCs w:val="28"/>
        </w:rPr>
        <w:t xml:space="preserve">С представлено на рисунке 2. </w:t>
      </w:r>
    </w:p>
    <w:p>
      <w:pPr>
        <w:pStyle w:val="Normal"/>
        <w:suppressAutoHyphens w:val="true"/>
        <w:spacing w:before="0" w:after="0"/>
        <w:ind w:firstLine="709"/>
        <w:contextualSpacing/>
        <w:jc w:val="both"/>
        <w:rPr>
          <w:rFonts w:ascii="Times New Roman" w:hAnsi="Times New Roman" w:eastAsia="Calibri" w:cs="Times New Roman"/>
          <w:sz w:val="24"/>
          <w:szCs w:val="24"/>
        </w:rPr>
      </w:pPr>
      <w:r>
        <w:rPr/>
        <w:drawing>
          <wp:inline distT="0" distB="0" distL="0" distR="0">
            <wp:extent cx="5416550" cy="2203450"/>
            <wp:effectExtent l="0" t="0" r="0" b="0"/>
            <wp:docPr id="2"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3"/>
              </a:graphicData>
            </a:graphic>
          </wp:inline>
        </w:drawing>
      </w:r>
    </w:p>
    <w:p>
      <w:pPr>
        <w:pStyle w:val="Normal"/>
        <w:suppressAutoHyphens w:val="true"/>
        <w:spacing w:lineRule="auto" w:line="360" w:before="0" w:after="0"/>
        <w:contextualSpacing/>
        <w:rPr>
          <w:rFonts w:ascii="Times New Roman" w:hAnsi="Times New Roman" w:eastAsia="Calibri" w:cs="Times New Roman"/>
          <w:color w:val="0070C0"/>
          <w:sz w:val="28"/>
          <w:szCs w:val="28"/>
        </w:rPr>
      </w:pPr>
      <w:r>
        <w:rPr>
          <w:rFonts w:eastAsia="Calibri" w:cs="Times New Roman" w:ascii="Times New Roman" w:hAnsi="Times New Roman"/>
          <w:i/>
          <w:iCs/>
          <w:sz w:val="28"/>
          <w:szCs w:val="28"/>
        </w:rPr>
        <w:t>Рисунок 2.</w:t>
      </w:r>
      <w:r>
        <w:rPr>
          <w:rFonts w:eastAsia="Calibri" w:cs="Times New Roman" w:ascii="Times New Roman" w:hAnsi="Times New Roman"/>
          <w:sz w:val="28"/>
          <w:szCs w:val="28"/>
        </w:rPr>
        <w:t xml:space="preserve"> Активная кислотность образцов свежевыработанных и на 19-е сутки хранения</w:t>
      </w:r>
    </w:p>
    <w:p>
      <w:pPr>
        <w:pStyle w:val="Normal"/>
        <w:suppressAutoHyphens w:val="true"/>
        <w:spacing w:lineRule="auto" w:line="360" w:before="0" w:after="0"/>
        <w:ind w:firstLine="709"/>
        <w:contextualSpacing/>
        <w:jc w:val="both"/>
        <w:rPr>
          <w:rFonts w:ascii="Times New Roman" w:hAnsi="Times New Roman" w:eastAsia="Calibri" w:cs="Times New Roman"/>
          <w:sz w:val="28"/>
          <w:szCs w:val="28"/>
        </w:rPr>
      </w:pPr>
      <w:r>
        <w:rPr>
          <w:rFonts w:eastAsia="Calibri" w:cs="Times New Roman" w:ascii="Times New Roman" w:hAnsi="Times New Roman"/>
          <w:sz w:val="28"/>
          <w:szCs w:val="28"/>
        </w:rPr>
        <w:t xml:space="preserve">Сразу после выработки все образцы имели активную кислотность, характерную для свежего молока. По мере хранения во всех образцах наблюдалось снижение активной кислотности. В образцах с массовой долей ячменя 6,5 % снижение показателя рН составило 0,8 единиц, в образцах с массовой долей ячменя 7,0 % – 0,6 единиц рН и в образцах с массовой долей ячменя 7,5 % – 0,5 единиц рН. </w:t>
      </w:r>
    </w:p>
    <w:p>
      <w:pPr>
        <w:pStyle w:val="Normal"/>
        <w:spacing w:lineRule="auto" w:line="360" w:before="0" w:after="0"/>
        <w:ind w:firstLine="709"/>
        <w:contextualSpacing/>
        <w:jc w:val="both"/>
        <w:rPr>
          <w:rFonts w:ascii="Times New Roman" w:hAnsi="Times New Roman" w:cs="Times New Roman"/>
          <w:sz w:val="28"/>
          <w:szCs w:val="28"/>
        </w:rPr>
      </w:pPr>
      <w:r>
        <w:rPr>
          <w:rFonts w:cs="Times New Roman" w:ascii="Times New Roman" w:hAnsi="Times New Roman"/>
          <w:sz w:val="28"/>
          <w:szCs w:val="28"/>
        </w:rPr>
        <w:t xml:space="preserve">На 24-е сутки все образцы приобрели кислый вкус. </w:t>
      </w:r>
    </w:p>
    <w:p>
      <w:pPr>
        <w:pStyle w:val="Normal"/>
        <w:spacing w:lineRule="auto" w:line="360" w:before="0" w:after="0"/>
        <w:ind w:firstLine="709"/>
        <w:contextualSpacing/>
        <w:jc w:val="both"/>
        <w:rPr>
          <w:rFonts w:ascii="Times New Roman" w:hAnsi="Times New Roman" w:eastAsia="Calibri" w:cs="Times New Roman"/>
          <w:sz w:val="28"/>
          <w:szCs w:val="28"/>
        </w:rPr>
      </w:pPr>
      <w:r>
        <w:rPr>
          <w:rFonts w:eastAsia="Calibri" w:cs="Times New Roman" w:ascii="Times New Roman" w:hAnsi="Times New Roman"/>
          <w:sz w:val="28"/>
          <w:szCs w:val="28"/>
        </w:rPr>
        <w:t>Плотность молочных напитков с ячменем и сиропом топинамбура закономерно возрастала с увеличением содержания сухих веществ в образцах и достигала 1074 кг/м</w:t>
      </w:r>
      <w:r>
        <w:rPr>
          <w:rFonts w:eastAsia="Calibri" w:cs="Times New Roman" w:ascii="Times New Roman" w:hAnsi="Times New Roman"/>
          <w:sz w:val="28"/>
          <w:szCs w:val="28"/>
          <w:vertAlign w:val="superscript"/>
        </w:rPr>
        <w:t>3</w:t>
      </w:r>
      <w:r>
        <w:rPr>
          <w:rFonts w:eastAsia="Calibri" w:cs="Times New Roman" w:ascii="Times New Roman" w:hAnsi="Times New Roman"/>
          <w:sz w:val="28"/>
          <w:szCs w:val="28"/>
        </w:rPr>
        <w:t xml:space="preserve"> в образце, содержащем 6,5 % порошка ячменя, 1078 кг/м</w:t>
      </w:r>
      <w:r>
        <w:rPr>
          <w:rFonts w:eastAsia="Calibri" w:cs="Times New Roman" w:ascii="Times New Roman" w:hAnsi="Times New Roman"/>
          <w:sz w:val="28"/>
          <w:szCs w:val="28"/>
          <w:vertAlign w:val="superscript"/>
        </w:rPr>
        <w:t>3</w:t>
      </w:r>
      <w:r>
        <w:rPr>
          <w:rFonts w:eastAsia="Calibri" w:cs="Times New Roman" w:ascii="Times New Roman" w:hAnsi="Times New Roman"/>
          <w:sz w:val="28"/>
          <w:szCs w:val="28"/>
        </w:rPr>
        <w:t xml:space="preserve"> – в образце с 7,0 % порошка ячменя и 1084 кг/м</w:t>
      </w:r>
      <w:r>
        <w:rPr>
          <w:rFonts w:eastAsia="Calibri" w:cs="Times New Roman" w:ascii="Times New Roman" w:hAnsi="Times New Roman"/>
          <w:sz w:val="28"/>
          <w:szCs w:val="28"/>
          <w:vertAlign w:val="superscript"/>
        </w:rPr>
        <w:t>3</w:t>
      </w:r>
      <w:r>
        <w:rPr>
          <w:rFonts w:eastAsia="Calibri" w:cs="Times New Roman" w:ascii="Times New Roman" w:hAnsi="Times New Roman"/>
          <w:sz w:val="28"/>
          <w:szCs w:val="28"/>
        </w:rPr>
        <w:t xml:space="preserve"> – в образце, содержащем 7,5 % порошка ячменя. Таким образом, между плотностью (</w:t>
      </w:r>
      <w:r>
        <w:rPr>
          <w:rFonts w:eastAsia="Calibri" w:cs="Times New Roman" w:ascii="Times New Roman" w:hAnsi="Times New Roman"/>
          <w:sz w:val="28"/>
          <w:szCs w:val="28"/>
          <w:lang w:val="en-US"/>
        </w:rPr>
        <w:t>y</w:t>
      </w:r>
      <w:r>
        <w:rPr>
          <w:rFonts w:eastAsia="Calibri" w:cs="Times New Roman" w:ascii="Times New Roman" w:hAnsi="Times New Roman"/>
          <w:sz w:val="28"/>
          <w:szCs w:val="28"/>
        </w:rPr>
        <w:t>) и общим содержанием сухих веществ (</w:t>
      </w:r>
      <w:r>
        <w:rPr>
          <w:rFonts w:eastAsia="Calibri" w:cs="Times New Roman" w:ascii="Times New Roman" w:hAnsi="Times New Roman"/>
          <w:sz w:val="28"/>
          <w:szCs w:val="28"/>
          <w:lang w:val="en-US"/>
        </w:rPr>
        <w:t>x</w:t>
      </w:r>
      <w:r>
        <w:rPr>
          <w:rFonts w:eastAsia="Calibri" w:cs="Times New Roman" w:ascii="Times New Roman" w:hAnsi="Times New Roman"/>
          <w:sz w:val="28"/>
          <w:szCs w:val="28"/>
        </w:rPr>
        <w:t xml:space="preserve">) в напитке установлена прямолинейная зависимость: </w:t>
      </w:r>
      <w:r>
        <w:rPr>
          <w:rFonts w:eastAsia="Calibri" w:cs="Times New Roman" w:ascii="Times New Roman" w:hAnsi="Times New Roman"/>
          <w:sz w:val="28"/>
          <w:szCs w:val="28"/>
          <w:lang w:val="en-US"/>
        </w:rPr>
        <w:t>y</w:t>
      </w:r>
      <w:r>
        <w:rPr>
          <w:rFonts w:eastAsia="Calibri" w:cs="Times New Roman" w:ascii="Times New Roman" w:hAnsi="Times New Roman"/>
          <w:sz w:val="28"/>
          <w:szCs w:val="28"/>
        </w:rPr>
        <w:t xml:space="preserve"> = 5</w:t>
      </w:r>
      <w:r>
        <w:rPr>
          <w:rFonts w:eastAsia="Calibri" w:cs="Times New Roman" w:ascii="Times New Roman" w:hAnsi="Times New Roman"/>
          <w:sz w:val="28"/>
          <w:szCs w:val="28"/>
          <w:lang w:val="en-US"/>
        </w:rPr>
        <w:t>x</w:t>
      </w:r>
      <w:r>
        <w:rPr>
          <w:rFonts w:eastAsia="Calibri" w:cs="Times New Roman" w:ascii="Times New Roman" w:hAnsi="Times New Roman"/>
          <w:sz w:val="28"/>
          <w:szCs w:val="28"/>
        </w:rPr>
        <w:t xml:space="preserve"> + 1068,7.</w:t>
      </w:r>
    </w:p>
    <w:p>
      <w:pPr>
        <w:pStyle w:val="Normal"/>
        <w:spacing w:lineRule="auto" w:line="360" w:before="0" w:after="0"/>
        <w:ind w:firstLine="709"/>
        <w:contextualSpacing/>
        <w:jc w:val="both"/>
        <w:rPr>
          <w:rFonts w:ascii="Times New Roman" w:hAnsi="Times New Roman" w:eastAsia="Calibri" w:cs="Times New Roman"/>
          <w:sz w:val="28"/>
          <w:szCs w:val="28"/>
        </w:rPr>
      </w:pPr>
      <w:r>
        <w:rPr>
          <w:rFonts w:eastAsia="Calibri" w:cs="Times New Roman" w:ascii="Times New Roman" w:hAnsi="Times New Roman"/>
          <w:sz w:val="28"/>
          <w:szCs w:val="28"/>
        </w:rPr>
        <w:t>На рисунке 3 представлена зависимость динамической вязкости от содержания ячменного порошка в образцах свежевыработанных и на 19-е сутки хранения.</w:t>
      </w:r>
    </w:p>
    <w:p>
      <w:pPr>
        <w:pStyle w:val="Normal"/>
        <w:spacing w:before="0" w:after="0"/>
        <w:ind w:firstLine="709"/>
        <w:contextualSpacing/>
        <w:jc w:val="center"/>
        <w:rPr>
          <w:rFonts w:ascii="Times New Roman" w:hAnsi="Times New Roman" w:eastAsia="Calibri" w:cs="Times New Roman"/>
          <w:sz w:val="24"/>
          <w:szCs w:val="24"/>
        </w:rPr>
      </w:pPr>
      <w:r>
        <w:rPr/>
        <w:drawing>
          <wp:inline distT="0" distB="0" distL="0" distR="0">
            <wp:extent cx="5172075" cy="2743200"/>
            <wp:effectExtent l="0" t="0" r="0" b="0"/>
            <wp:docPr id="3"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pPr>
        <w:pStyle w:val="Normal"/>
        <w:spacing w:lineRule="auto" w:line="360" w:before="0" w:after="0"/>
        <w:contextualSpacing/>
        <w:jc w:val="both"/>
        <w:rPr>
          <w:rFonts w:ascii="Times New Roman" w:hAnsi="Times New Roman" w:eastAsia="Calibri" w:cs="Times New Roman"/>
          <w:sz w:val="28"/>
          <w:szCs w:val="28"/>
        </w:rPr>
      </w:pPr>
      <w:r>
        <w:rPr>
          <w:rFonts w:eastAsia="Calibri" w:cs="Times New Roman" w:ascii="Times New Roman" w:hAnsi="Times New Roman"/>
          <w:i/>
          <w:iCs/>
          <w:sz w:val="28"/>
          <w:szCs w:val="28"/>
        </w:rPr>
        <w:t>Рисунок 3.</w:t>
      </w:r>
      <w:r>
        <w:rPr>
          <w:rFonts w:eastAsia="Calibri" w:cs="Times New Roman" w:ascii="Times New Roman" w:hAnsi="Times New Roman"/>
          <w:sz w:val="28"/>
          <w:szCs w:val="28"/>
        </w:rPr>
        <w:t xml:space="preserve"> Изменение динамической вязкости в зависимости от содержания ячменного порошка в образцах</w:t>
      </w:r>
      <w:bookmarkStart w:id="2" w:name="_Toc103353876"/>
      <w:bookmarkStart w:id="3" w:name="_Toc103438379"/>
    </w:p>
    <w:p>
      <w:pPr>
        <w:pStyle w:val="Normal"/>
        <w:spacing w:lineRule="auto" w:line="360" w:before="0" w:after="0"/>
        <w:ind w:firstLine="709"/>
        <w:contextualSpacing/>
        <w:jc w:val="both"/>
        <w:rPr>
          <w:rFonts w:ascii="Times New Roman" w:hAnsi="Times New Roman" w:eastAsia="Calibri" w:cs="Times New Roman"/>
          <w:sz w:val="28"/>
          <w:szCs w:val="28"/>
        </w:rPr>
      </w:pPr>
      <w:r>
        <w:rPr>
          <w:rFonts w:eastAsia="Calibri" w:cs="Times New Roman" w:ascii="Times New Roman" w:hAnsi="Times New Roman"/>
          <w:sz w:val="28"/>
          <w:szCs w:val="28"/>
        </w:rPr>
        <w:t xml:space="preserve">На рисунке 3 видно, что между содержанием сухих веществ в образцах и их вязкостью существует прямая зависимость. Также установлено, что динамическая вязкость образцов при хранении молока повышалась, что обусловлено коллоидными свойствами молочных белков и полисахаридов ячменного порошка, а именно, продолжением набухания этих гидроколлоидов. Наблюдаемое увеличение вязкости было благоприятно для консистенции продукта, которая сохраняла текучесть и однородность. </w:t>
      </w:r>
    </w:p>
    <w:p>
      <w:pPr>
        <w:pStyle w:val="Normal"/>
        <w:spacing w:lineRule="auto" w:line="360" w:before="0" w:after="0"/>
        <w:ind w:firstLine="709"/>
        <w:contextualSpacing/>
        <w:jc w:val="both"/>
        <w:rPr>
          <w:rFonts w:ascii="Times New Roman" w:hAnsi="Times New Roman" w:eastAsia="Calibri" w:cs="Times New Roman"/>
          <w:sz w:val="28"/>
          <w:szCs w:val="28"/>
        </w:rPr>
      </w:pPr>
      <w:r>
        <w:rPr>
          <w:rFonts w:eastAsia="Calibri" w:cs="Times New Roman" w:ascii="Times New Roman" w:hAnsi="Times New Roman"/>
          <w:sz w:val="28"/>
          <w:szCs w:val="28"/>
        </w:rPr>
        <w:t>Микробиологические испытания свежеприготовленных образцов и на 10, 15, 19 сутки хранения проводили методом посева на питательные среды КМАФАнМ и Кесслер. Результаты представлены в таблице 2.</w:t>
      </w:r>
    </w:p>
    <w:p>
      <w:pPr>
        <w:pStyle w:val="Normal"/>
        <w:spacing w:lineRule="auto" w:line="360" w:before="0" w:after="0"/>
        <w:contextualSpacing/>
        <w:jc w:val="both"/>
        <w:rPr>
          <w:rFonts w:ascii="Times New Roman" w:hAnsi="Times New Roman" w:eastAsia="Calibri" w:cs="Times New Roman"/>
          <w:sz w:val="28"/>
          <w:szCs w:val="28"/>
        </w:rPr>
      </w:pPr>
      <w:r>
        <w:rPr>
          <w:rFonts w:eastAsia="Calibri" w:cs="Times New Roman" w:ascii="Times New Roman" w:hAnsi="Times New Roman"/>
          <w:sz w:val="28"/>
          <w:szCs w:val="28"/>
        </w:rPr>
        <w:t>Таблица 2</w:t>
      </w:r>
    </w:p>
    <w:p>
      <w:pPr>
        <w:pStyle w:val="Normal"/>
        <w:spacing w:lineRule="auto" w:line="360" w:before="0" w:after="0"/>
        <w:contextualSpacing/>
        <w:jc w:val="both"/>
        <w:rPr>
          <w:rFonts w:ascii="Times New Roman" w:hAnsi="Times New Roman" w:eastAsia="Calibri" w:cs="Times New Roman"/>
          <w:i/>
          <w:i/>
          <w:iCs/>
          <w:sz w:val="28"/>
          <w:szCs w:val="28"/>
        </w:rPr>
      </w:pPr>
      <w:r>
        <w:rPr>
          <w:rFonts w:eastAsia="Calibri" w:cs="Times New Roman" w:ascii="Times New Roman" w:hAnsi="Times New Roman"/>
          <w:i/>
          <w:iCs/>
          <w:sz w:val="28"/>
          <w:szCs w:val="28"/>
        </w:rPr>
        <w:t>Средние результаты микробиологических испытаний образцов</w:t>
      </w:r>
    </w:p>
    <w:tbl>
      <w:tblPr>
        <w:tblW w:w="9636"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3541"/>
        <w:gridCol w:w="1559"/>
        <w:gridCol w:w="1560"/>
        <w:gridCol w:w="1558"/>
        <w:gridCol w:w="1418"/>
      </w:tblGrid>
      <w:tr>
        <w:trPr/>
        <w:tc>
          <w:tcPr>
            <w:tcW w:w="3541" w:type="dxa"/>
            <w:tcBorders>
              <w:top w:val="single" w:sz="2" w:space="0" w:color="000000"/>
              <w:bottom w:val="single" w:sz="2" w:space="0" w:color="000000"/>
            </w:tcBorders>
          </w:tcPr>
          <w:p>
            <w:pPr>
              <w:pStyle w:val="Style30"/>
              <w:widowControl w:val="false"/>
              <w:spacing w:lineRule="auto" w:line="360"/>
              <w:jc w:val="center"/>
              <w:rPr/>
            </w:pPr>
            <w:r>
              <w:rPr/>
              <w:t>Показатель</w:t>
            </w:r>
          </w:p>
        </w:tc>
        <w:tc>
          <w:tcPr>
            <w:tcW w:w="1559" w:type="dxa"/>
            <w:tcBorders>
              <w:top w:val="single" w:sz="2" w:space="0" w:color="000000"/>
              <w:bottom w:val="single" w:sz="2" w:space="0" w:color="000000"/>
            </w:tcBorders>
          </w:tcPr>
          <w:p>
            <w:pPr>
              <w:pStyle w:val="Style30"/>
              <w:widowControl w:val="false"/>
              <w:spacing w:lineRule="auto" w:line="360"/>
              <w:jc w:val="center"/>
              <w:rPr/>
            </w:pPr>
            <w:r>
              <w:rPr/>
              <w:t xml:space="preserve">Свежее </w:t>
            </w:r>
          </w:p>
        </w:tc>
        <w:tc>
          <w:tcPr>
            <w:tcW w:w="1560" w:type="dxa"/>
            <w:tcBorders>
              <w:top w:val="single" w:sz="2" w:space="0" w:color="000000"/>
              <w:bottom w:val="single" w:sz="2" w:space="0" w:color="000000"/>
            </w:tcBorders>
          </w:tcPr>
          <w:p>
            <w:pPr>
              <w:pStyle w:val="Style30"/>
              <w:widowControl w:val="false"/>
              <w:spacing w:lineRule="auto" w:line="360"/>
              <w:jc w:val="center"/>
              <w:rPr/>
            </w:pPr>
            <w:r>
              <w:rPr/>
              <w:t xml:space="preserve">10 сутки </w:t>
            </w:r>
          </w:p>
        </w:tc>
        <w:tc>
          <w:tcPr>
            <w:tcW w:w="1558" w:type="dxa"/>
            <w:tcBorders>
              <w:top w:val="single" w:sz="2" w:space="0" w:color="000000"/>
              <w:bottom w:val="single" w:sz="2" w:space="0" w:color="000000"/>
            </w:tcBorders>
          </w:tcPr>
          <w:p>
            <w:pPr>
              <w:pStyle w:val="Style30"/>
              <w:widowControl w:val="false"/>
              <w:spacing w:lineRule="auto" w:line="360"/>
              <w:jc w:val="center"/>
              <w:rPr/>
            </w:pPr>
            <w:r>
              <w:rPr/>
              <w:t xml:space="preserve">15 сутки </w:t>
            </w:r>
          </w:p>
        </w:tc>
        <w:tc>
          <w:tcPr>
            <w:tcW w:w="1418" w:type="dxa"/>
            <w:tcBorders>
              <w:top w:val="single" w:sz="2" w:space="0" w:color="000000"/>
              <w:bottom w:val="single" w:sz="2" w:space="0" w:color="000000"/>
            </w:tcBorders>
            <w:tcMar>
              <w:top w:w="0" w:type="dxa"/>
              <w:left w:w="10" w:type="dxa"/>
              <w:bottom w:w="0" w:type="dxa"/>
              <w:right w:w="10" w:type="dxa"/>
            </w:tcMar>
          </w:tcPr>
          <w:p>
            <w:pPr>
              <w:pStyle w:val="Style30"/>
              <w:widowControl w:val="false"/>
              <w:spacing w:lineRule="auto" w:line="360"/>
              <w:jc w:val="center"/>
              <w:rPr/>
            </w:pPr>
            <w:r>
              <w:rPr/>
              <w:t xml:space="preserve">19 сутки </w:t>
            </w:r>
          </w:p>
        </w:tc>
      </w:tr>
      <w:tr>
        <w:trPr/>
        <w:tc>
          <w:tcPr>
            <w:tcW w:w="3541" w:type="dxa"/>
            <w:tcBorders>
              <w:top w:val="single" w:sz="2" w:space="0" w:color="000000"/>
              <w:bottom w:val="single" w:sz="2" w:space="0" w:color="000000"/>
            </w:tcBorders>
          </w:tcPr>
          <w:p>
            <w:pPr>
              <w:pStyle w:val="Style30"/>
              <w:widowControl w:val="false"/>
              <w:spacing w:lineRule="auto" w:line="360"/>
              <w:jc w:val="center"/>
              <w:rPr/>
            </w:pPr>
            <w:r>
              <w:rPr/>
              <w:t>БГКП</w:t>
            </w:r>
          </w:p>
        </w:tc>
        <w:tc>
          <w:tcPr>
            <w:tcW w:w="1559" w:type="dxa"/>
            <w:tcBorders>
              <w:top w:val="single" w:sz="2" w:space="0" w:color="000000"/>
              <w:bottom w:val="single" w:sz="2" w:space="0" w:color="000000"/>
            </w:tcBorders>
          </w:tcPr>
          <w:p>
            <w:pPr>
              <w:pStyle w:val="Style30"/>
              <w:widowControl w:val="false"/>
              <w:spacing w:lineRule="auto" w:line="360"/>
              <w:jc w:val="center"/>
              <w:rPr/>
            </w:pPr>
            <w:r>
              <w:rPr/>
              <w:t>в 0,01 см</w:t>
            </w:r>
            <w:r>
              <w:rPr>
                <w:vertAlign w:val="superscript"/>
              </w:rPr>
              <w:t>3</w:t>
            </w:r>
            <w:r>
              <w:rPr/>
              <w:t xml:space="preserve"> не обнаружено</w:t>
            </w:r>
          </w:p>
        </w:tc>
        <w:tc>
          <w:tcPr>
            <w:tcW w:w="1560" w:type="dxa"/>
            <w:tcBorders>
              <w:top w:val="single" w:sz="2" w:space="0" w:color="000000"/>
              <w:bottom w:val="single" w:sz="2" w:space="0" w:color="000000"/>
            </w:tcBorders>
          </w:tcPr>
          <w:p>
            <w:pPr>
              <w:pStyle w:val="Style30"/>
              <w:widowControl w:val="false"/>
              <w:spacing w:lineRule="auto" w:line="360"/>
              <w:jc w:val="center"/>
              <w:rPr/>
            </w:pPr>
            <w:r>
              <w:rPr/>
              <w:t>в 0,01 см</w:t>
            </w:r>
            <w:r>
              <w:rPr>
                <w:vertAlign w:val="superscript"/>
              </w:rPr>
              <w:t>3</w:t>
            </w:r>
            <w:r>
              <w:rPr/>
              <w:t xml:space="preserve"> не обнаружено</w:t>
            </w:r>
          </w:p>
        </w:tc>
        <w:tc>
          <w:tcPr>
            <w:tcW w:w="1558" w:type="dxa"/>
            <w:tcBorders>
              <w:top w:val="single" w:sz="2" w:space="0" w:color="000000"/>
              <w:bottom w:val="single" w:sz="2" w:space="0" w:color="000000"/>
            </w:tcBorders>
          </w:tcPr>
          <w:p>
            <w:pPr>
              <w:pStyle w:val="Style30"/>
              <w:widowControl w:val="false"/>
              <w:spacing w:lineRule="auto" w:line="360"/>
              <w:jc w:val="center"/>
              <w:rPr/>
            </w:pPr>
            <w:r>
              <w:rPr/>
              <w:t>в 0,01 см</w:t>
            </w:r>
            <w:r>
              <w:rPr>
                <w:vertAlign w:val="superscript"/>
              </w:rPr>
              <w:t>3</w:t>
            </w:r>
            <w:r>
              <w:rPr/>
              <w:t xml:space="preserve"> не обнаружено</w:t>
            </w:r>
          </w:p>
        </w:tc>
        <w:tc>
          <w:tcPr>
            <w:tcW w:w="1418" w:type="dxa"/>
            <w:tcBorders>
              <w:top w:val="single" w:sz="2" w:space="0" w:color="000000"/>
              <w:bottom w:val="single" w:sz="2" w:space="0" w:color="000000"/>
            </w:tcBorders>
            <w:tcMar>
              <w:top w:w="0" w:type="dxa"/>
              <w:left w:w="10" w:type="dxa"/>
              <w:bottom w:w="0" w:type="dxa"/>
              <w:right w:w="10" w:type="dxa"/>
            </w:tcMar>
          </w:tcPr>
          <w:p>
            <w:pPr>
              <w:pStyle w:val="Style30"/>
              <w:widowControl w:val="false"/>
              <w:spacing w:lineRule="auto" w:line="360"/>
              <w:jc w:val="center"/>
              <w:rPr/>
            </w:pPr>
            <w:r>
              <w:rPr/>
              <w:t>в 0,01 см</w:t>
            </w:r>
            <w:r>
              <w:rPr>
                <w:vertAlign w:val="superscript"/>
              </w:rPr>
              <w:t>3</w:t>
            </w:r>
            <w:r>
              <w:rPr/>
              <w:t xml:space="preserve"> не обнаружено</w:t>
            </w:r>
          </w:p>
        </w:tc>
      </w:tr>
      <w:tr>
        <w:trPr/>
        <w:tc>
          <w:tcPr>
            <w:tcW w:w="3541" w:type="dxa"/>
            <w:tcBorders>
              <w:top w:val="single" w:sz="2" w:space="0" w:color="000000"/>
              <w:bottom w:val="single" w:sz="2" w:space="0" w:color="000000"/>
            </w:tcBorders>
          </w:tcPr>
          <w:p>
            <w:pPr>
              <w:pStyle w:val="Style30"/>
              <w:widowControl w:val="false"/>
              <w:spacing w:lineRule="auto" w:line="360"/>
              <w:jc w:val="center"/>
              <w:rPr/>
            </w:pPr>
            <w:r>
              <w:rPr/>
              <w:t xml:space="preserve">Пересев на среду Эндо (обнаружение </w:t>
            </w:r>
            <w:r>
              <w:rPr>
                <w:lang w:val="en-US"/>
              </w:rPr>
              <w:t>E</w:t>
            </w:r>
            <w:r>
              <w:rPr/>
              <w:t>.</w:t>
            </w:r>
            <w:r>
              <w:rPr>
                <w:lang w:val="en-US"/>
              </w:rPr>
              <w:t>coli</w:t>
            </w:r>
            <w:r>
              <w:rPr/>
              <w:t>)</w:t>
            </w:r>
          </w:p>
        </w:tc>
        <w:tc>
          <w:tcPr>
            <w:tcW w:w="1559" w:type="dxa"/>
            <w:tcBorders>
              <w:top w:val="single" w:sz="2" w:space="0" w:color="000000"/>
              <w:bottom w:val="single" w:sz="2" w:space="0" w:color="000000"/>
            </w:tcBorders>
          </w:tcPr>
          <w:p>
            <w:pPr>
              <w:pStyle w:val="Style30"/>
              <w:widowControl w:val="false"/>
              <w:spacing w:lineRule="auto" w:line="360"/>
              <w:jc w:val="center"/>
              <w:rPr/>
            </w:pPr>
            <w:r>
              <w:rPr/>
              <w:t>нет роста</w:t>
            </w:r>
          </w:p>
        </w:tc>
        <w:tc>
          <w:tcPr>
            <w:tcW w:w="1560" w:type="dxa"/>
            <w:tcBorders>
              <w:top w:val="single" w:sz="2" w:space="0" w:color="000000"/>
              <w:bottom w:val="single" w:sz="2" w:space="0" w:color="000000"/>
            </w:tcBorders>
          </w:tcPr>
          <w:p>
            <w:pPr>
              <w:pStyle w:val="Style30"/>
              <w:widowControl w:val="false"/>
              <w:spacing w:lineRule="auto" w:line="360"/>
              <w:jc w:val="center"/>
              <w:rPr/>
            </w:pPr>
            <w:r>
              <w:rPr/>
              <w:t>нет роста</w:t>
            </w:r>
          </w:p>
        </w:tc>
        <w:tc>
          <w:tcPr>
            <w:tcW w:w="1558" w:type="dxa"/>
            <w:tcBorders>
              <w:top w:val="single" w:sz="2" w:space="0" w:color="000000"/>
              <w:bottom w:val="single" w:sz="2" w:space="0" w:color="000000"/>
            </w:tcBorders>
          </w:tcPr>
          <w:p>
            <w:pPr>
              <w:pStyle w:val="Style30"/>
              <w:widowControl w:val="false"/>
              <w:spacing w:lineRule="auto" w:line="360"/>
              <w:jc w:val="center"/>
              <w:rPr/>
            </w:pPr>
            <w:r>
              <w:rPr/>
              <w:t>нет роста</w:t>
            </w:r>
          </w:p>
        </w:tc>
        <w:tc>
          <w:tcPr>
            <w:tcW w:w="1418" w:type="dxa"/>
            <w:tcBorders>
              <w:top w:val="single" w:sz="2" w:space="0" w:color="000000"/>
              <w:bottom w:val="single" w:sz="2" w:space="0" w:color="000000"/>
            </w:tcBorders>
            <w:tcMar>
              <w:top w:w="0" w:type="dxa"/>
              <w:left w:w="10" w:type="dxa"/>
              <w:bottom w:w="0" w:type="dxa"/>
              <w:right w:w="10" w:type="dxa"/>
            </w:tcMar>
          </w:tcPr>
          <w:p>
            <w:pPr>
              <w:pStyle w:val="Style30"/>
              <w:widowControl w:val="false"/>
              <w:spacing w:lineRule="auto" w:line="360"/>
              <w:jc w:val="center"/>
              <w:rPr/>
            </w:pPr>
            <w:r>
              <w:rPr/>
              <w:t>нет роста</w:t>
            </w:r>
          </w:p>
        </w:tc>
      </w:tr>
      <w:tr>
        <w:trPr/>
        <w:tc>
          <w:tcPr>
            <w:tcW w:w="3541" w:type="dxa"/>
            <w:tcBorders>
              <w:top w:val="single" w:sz="2" w:space="0" w:color="000000"/>
              <w:bottom w:val="single" w:sz="2" w:space="0" w:color="000000"/>
            </w:tcBorders>
          </w:tcPr>
          <w:p>
            <w:pPr>
              <w:pStyle w:val="Style30"/>
              <w:widowControl w:val="false"/>
              <w:spacing w:lineRule="auto" w:line="360"/>
              <w:jc w:val="center"/>
              <w:rPr>
                <w:vertAlign w:val="superscript"/>
              </w:rPr>
            </w:pPr>
            <w:r>
              <w:rPr/>
              <w:t>КМАФАнМ, КОЕ/см</w:t>
            </w:r>
            <w:r>
              <w:rPr>
                <w:vertAlign w:val="superscript"/>
              </w:rPr>
              <w:t>3</w:t>
            </w:r>
          </w:p>
        </w:tc>
        <w:tc>
          <w:tcPr>
            <w:tcW w:w="1559" w:type="dxa"/>
            <w:tcBorders>
              <w:top w:val="single" w:sz="2" w:space="0" w:color="000000"/>
              <w:bottom w:val="single" w:sz="2" w:space="0" w:color="000000"/>
            </w:tcBorders>
          </w:tcPr>
          <w:p>
            <w:pPr>
              <w:pStyle w:val="Style30"/>
              <w:widowControl w:val="false"/>
              <w:spacing w:lineRule="auto" w:line="360"/>
              <w:jc w:val="center"/>
              <w:rPr/>
            </w:pPr>
            <w:r>
              <w:rPr/>
              <w:t>1,1</w:t>
            </w:r>
            <w:r>
              <w:rPr>
                <w:rFonts w:cs="Times New Roman"/>
              </w:rPr>
              <w:t>×</w:t>
            </w:r>
            <w:r>
              <w:rPr/>
              <w:t>10</w:t>
            </w:r>
            <w:r>
              <w:rPr>
                <w:vertAlign w:val="superscript"/>
              </w:rPr>
              <w:t>1</w:t>
            </w:r>
          </w:p>
        </w:tc>
        <w:tc>
          <w:tcPr>
            <w:tcW w:w="1560" w:type="dxa"/>
            <w:tcBorders>
              <w:top w:val="single" w:sz="2" w:space="0" w:color="000000"/>
              <w:bottom w:val="single" w:sz="2" w:space="0" w:color="000000"/>
            </w:tcBorders>
          </w:tcPr>
          <w:p>
            <w:pPr>
              <w:pStyle w:val="Style30"/>
              <w:widowControl w:val="false"/>
              <w:spacing w:lineRule="auto" w:line="360"/>
              <w:jc w:val="center"/>
              <w:rPr/>
            </w:pPr>
            <w:r>
              <w:rPr/>
              <w:t>3,7</w:t>
            </w:r>
            <w:r>
              <w:rPr>
                <w:rFonts w:cs="Times New Roman"/>
              </w:rPr>
              <w:t>×</w:t>
            </w:r>
            <w:r>
              <w:rPr/>
              <w:t>10</w:t>
            </w:r>
            <w:r>
              <w:rPr>
                <w:vertAlign w:val="superscript"/>
              </w:rPr>
              <w:t>1</w:t>
            </w:r>
          </w:p>
        </w:tc>
        <w:tc>
          <w:tcPr>
            <w:tcW w:w="1558" w:type="dxa"/>
            <w:tcBorders>
              <w:top w:val="single" w:sz="2" w:space="0" w:color="000000"/>
              <w:bottom w:val="single" w:sz="2" w:space="0" w:color="000000"/>
            </w:tcBorders>
          </w:tcPr>
          <w:p>
            <w:pPr>
              <w:pStyle w:val="Style30"/>
              <w:widowControl w:val="false"/>
              <w:spacing w:lineRule="auto" w:line="360"/>
              <w:jc w:val="center"/>
              <w:rPr/>
            </w:pPr>
            <w:r>
              <w:rPr/>
              <w:t>1,2</w:t>
            </w:r>
            <w:r>
              <w:rPr>
                <w:rFonts w:cs="Times New Roman"/>
              </w:rPr>
              <w:t>×</w:t>
            </w:r>
            <w:r>
              <w:rPr/>
              <w:t>10</w:t>
            </w:r>
            <w:r>
              <w:rPr>
                <w:vertAlign w:val="superscript"/>
              </w:rPr>
              <w:t>2</w:t>
            </w:r>
          </w:p>
        </w:tc>
        <w:tc>
          <w:tcPr>
            <w:tcW w:w="1418" w:type="dxa"/>
            <w:tcBorders>
              <w:top w:val="single" w:sz="2" w:space="0" w:color="000000"/>
              <w:bottom w:val="single" w:sz="2" w:space="0" w:color="000000"/>
            </w:tcBorders>
            <w:tcMar>
              <w:top w:w="0" w:type="dxa"/>
              <w:left w:w="10" w:type="dxa"/>
              <w:bottom w:w="0" w:type="dxa"/>
              <w:right w:w="10" w:type="dxa"/>
            </w:tcMar>
          </w:tcPr>
          <w:p>
            <w:pPr>
              <w:pStyle w:val="Style30"/>
              <w:widowControl w:val="false"/>
              <w:spacing w:lineRule="auto" w:line="360"/>
              <w:jc w:val="center"/>
              <w:rPr/>
            </w:pPr>
            <w:r>
              <w:rPr/>
              <w:t>6,5</w:t>
            </w:r>
            <w:r>
              <w:rPr>
                <w:rFonts w:cs="Times New Roman"/>
              </w:rPr>
              <w:t>×</w:t>
            </w:r>
            <w:r>
              <w:rPr/>
              <w:t>10</w:t>
            </w:r>
            <w:r>
              <w:rPr>
                <w:vertAlign w:val="superscript"/>
              </w:rPr>
              <w:t>2</w:t>
            </w:r>
          </w:p>
        </w:tc>
      </w:tr>
    </w:tbl>
    <w:p>
      <w:pPr>
        <w:pStyle w:val="Normal"/>
        <w:spacing w:lineRule="auto" w:line="360" w:before="0" w:after="0"/>
        <w:ind w:firstLine="709"/>
        <w:contextualSpacing/>
        <w:jc w:val="both"/>
        <w:rPr>
          <w:rFonts w:ascii="Times New Roman" w:hAnsi="Times New Roman" w:eastAsia="Calibri" w:cs="Times New Roman"/>
          <w:sz w:val="28"/>
          <w:szCs w:val="28"/>
        </w:rPr>
      </w:pPr>
      <w:r>
        <w:rPr>
          <w:rFonts w:eastAsia="Calibri" w:cs="Times New Roman" w:ascii="Times New Roman" w:hAnsi="Times New Roman"/>
          <w:sz w:val="28"/>
          <w:szCs w:val="28"/>
        </w:rPr>
      </w:r>
    </w:p>
    <w:p>
      <w:pPr>
        <w:pStyle w:val="Normal"/>
        <w:spacing w:lineRule="auto" w:line="360" w:before="0" w:after="0"/>
        <w:ind w:firstLine="709"/>
        <w:contextualSpacing/>
        <w:jc w:val="both"/>
        <w:rPr>
          <w:rFonts w:ascii="Times New Roman" w:hAnsi="Times New Roman" w:eastAsia="Calibri" w:cs="Times New Roman"/>
          <w:sz w:val="28"/>
          <w:szCs w:val="28"/>
        </w:rPr>
      </w:pPr>
      <w:r>
        <w:rPr>
          <w:rFonts w:eastAsia="Calibri" w:cs="Times New Roman" w:ascii="Times New Roman" w:hAnsi="Times New Roman"/>
          <w:sz w:val="28"/>
          <w:szCs w:val="28"/>
        </w:rPr>
        <w:t>По результатам микробиологических испытаний образцов продукта свежеприготовленных и на протяжении срока хранения общее количество микроорганизмов увеличилось на порядок, но оставалось в пределах норматива (</w:t>
      </w:r>
      <w:r>
        <w:rPr>
          <w:rFonts w:cs="Times New Roman" w:ascii="Times New Roman" w:hAnsi="Times New Roman"/>
          <w:sz w:val="28"/>
          <w:szCs w:val="28"/>
        </w:rPr>
        <w:t>не более 1×10</w:t>
      </w:r>
      <w:r>
        <w:rPr>
          <w:rFonts w:cs="Times New Roman" w:ascii="Times New Roman" w:hAnsi="Times New Roman"/>
          <w:sz w:val="28"/>
          <w:szCs w:val="28"/>
          <w:vertAlign w:val="superscript"/>
        </w:rPr>
        <w:t xml:space="preserve">5 </w:t>
      </w:r>
      <w:r>
        <w:rPr>
          <w:rFonts w:cs="Times New Roman" w:ascii="Times New Roman" w:hAnsi="Times New Roman"/>
          <w:sz w:val="28"/>
          <w:szCs w:val="28"/>
        </w:rPr>
        <w:t>КОЕ/см</w:t>
      </w:r>
      <w:r>
        <w:rPr>
          <w:rFonts w:cs="Times New Roman" w:ascii="Times New Roman" w:hAnsi="Times New Roman"/>
          <w:sz w:val="28"/>
          <w:szCs w:val="28"/>
          <w:vertAlign w:val="superscript"/>
        </w:rPr>
        <w:t>3</w:t>
      </w:r>
      <w:r>
        <w:rPr>
          <w:rFonts w:eastAsia="Calibri" w:cs="Times New Roman" w:ascii="Times New Roman" w:hAnsi="Times New Roman"/>
          <w:sz w:val="28"/>
          <w:szCs w:val="28"/>
        </w:rPr>
        <w:t xml:space="preserve">), допускаемого </w:t>
      </w:r>
      <w:r>
        <w:rPr>
          <w:rFonts w:cs="Times New Roman" w:ascii="Times New Roman" w:hAnsi="Times New Roman"/>
          <w:sz w:val="28"/>
          <w:szCs w:val="28"/>
          <w:lang w:eastAsia="ru-RU"/>
        </w:rPr>
        <w:t>Техническим регламентом Таможенного союза «О безопасности молока и молочной продукции» (ТР ТС 033/2013)</w:t>
      </w:r>
      <w:r>
        <w:rPr>
          <w:rFonts w:cs="Times New Roman" w:ascii="Times New Roman" w:hAnsi="Times New Roman"/>
          <w:sz w:val="28"/>
          <w:szCs w:val="28"/>
        </w:rPr>
        <w:t xml:space="preserve">. </w:t>
      </w:r>
    </w:p>
    <w:p>
      <w:pPr>
        <w:pStyle w:val="Normal"/>
        <w:spacing w:lineRule="auto" w:line="360" w:before="0" w:after="0"/>
        <w:ind w:firstLine="709"/>
        <w:contextualSpacing/>
        <w:jc w:val="both"/>
        <w:rPr>
          <w:rFonts w:ascii="Times New Roman" w:hAnsi="Times New Roman" w:eastAsia="Calibri" w:cs="Times New Roman"/>
          <w:sz w:val="28"/>
          <w:szCs w:val="28"/>
        </w:rPr>
      </w:pPr>
      <w:r>
        <w:rPr>
          <w:rFonts w:eastAsia="Calibri" w:cs="Times New Roman" w:ascii="Times New Roman" w:hAnsi="Times New Roman"/>
          <w:sz w:val="28"/>
          <w:szCs w:val="28"/>
        </w:rPr>
        <w:t xml:space="preserve">Таким образом, приготовленные образцы выдержали хранение в течение 19 дней при температуре (4±2) ℃. </w:t>
      </w:r>
      <w:r>
        <w:rPr>
          <w:rFonts w:cs="Times New Roman" w:ascii="Times New Roman" w:hAnsi="Times New Roman"/>
          <w:sz w:val="28"/>
          <w:szCs w:val="28"/>
        </w:rPr>
        <w:t>Согласно санитарно-эпидемиологической оценке обоснования сроков годности и условий хранения пищевых продуктов (Санитарно-эпидемиологическая оценка обоснования сроков годности и условия хранения пищевых продуктов, 2004), коэффициент резерва для скоропортящихся продуктов при сроках годности до 30 суток включительно равен 1,3. Следовательно, п</w:t>
      </w:r>
      <w:r>
        <w:rPr>
          <w:rFonts w:eastAsia="Times New Roman" w:cs="Times New Roman" w:ascii="Times New Roman" w:hAnsi="Times New Roman"/>
          <w:iCs/>
          <w:sz w:val="28"/>
          <w:szCs w:val="28"/>
          <w:lang w:eastAsia="ru-RU"/>
        </w:rPr>
        <w:t>о полученным данным срок хранения продукта будет составлять 15 суток.</w:t>
      </w:r>
    </w:p>
    <w:p>
      <w:pPr>
        <w:pStyle w:val="Normal"/>
        <w:spacing w:lineRule="auto" w:line="360" w:before="0" w:after="0"/>
        <w:ind w:firstLine="709"/>
        <w:contextualSpacing/>
        <w:jc w:val="both"/>
        <w:rPr>
          <w:rFonts w:ascii="Times New Roman" w:hAnsi="Times New Roman" w:eastAsia="Calibri" w:cs="Times New Roman"/>
          <w:sz w:val="28"/>
          <w:szCs w:val="28"/>
        </w:rPr>
      </w:pPr>
      <w:r>
        <w:rPr>
          <w:rFonts w:eastAsia="Calibri" w:cs="Times New Roman" w:ascii="Times New Roman" w:hAnsi="Times New Roman"/>
          <w:sz w:val="28"/>
          <w:szCs w:val="28"/>
        </w:rPr>
        <w:t>На основе результатов испытаний образцов разработана технологическая схема производства (рисунок 4).</w:t>
      </w:r>
    </w:p>
    <w:p>
      <w:pPr>
        <w:pStyle w:val="Normal"/>
        <w:spacing w:before="0" w:after="0"/>
        <w:ind w:firstLine="709"/>
        <w:contextualSpacing/>
        <w:jc w:val="both"/>
        <w:rPr>
          <w:rFonts w:ascii="Times New Roman" w:hAnsi="Times New Roman" w:eastAsia="Calibri" w:cs="Times New Roman"/>
          <w:sz w:val="24"/>
          <w:szCs w:val="24"/>
        </w:rPr>
      </w:pPr>
      <w:r>
        <w:rPr/>
        <w:drawing>
          <wp:inline distT="0" distB="0" distL="0" distR="0">
            <wp:extent cx="4867275" cy="3924300"/>
            <wp:effectExtent l="0" t="0" r="0" b="0"/>
            <wp:docPr id="4"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
                    <pic:cNvPicPr>
                      <a:picLocks noChangeAspect="1" noChangeArrowheads="1"/>
                    </pic:cNvPicPr>
                  </pic:nvPicPr>
                  <pic:blipFill>
                    <a:blip r:embed="rId5"/>
                    <a:srcRect l="5760" t="9133" r="14710" b="45534"/>
                    <a:stretch>
                      <a:fillRect/>
                    </a:stretch>
                  </pic:blipFill>
                  <pic:spPr bwMode="auto">
                    <a:xfrm>
                      <a:off x="0" y="0"/>
                      <a:ext cx="4867275" cy="3924300"/>
                    </a:xfrm>
                    <a:prstGeom prst="rect">
                      <a:avLst/>
                    </a:prstGeom>
                  </pic:spPr>
                </pic:pic>
              </a:graphicData>
            </a:graphic>
          </wp:inline>
        </w:drawing>
      </w:r>
    </w:p>
    <w:p>
      <w:pPr>
        <w:pStyle w:val="Normal"/>
        <w:spacing w:lineRule="auto" w:line="360" w:before="0" w:after="0"/>
        <w:contextualSpacing/>
        <w:rPr>
          <w:rFonts w:ascii="Times New Roman" w:hAnsi="Times New Roman" w:eastAsia="Calibri" w:cs="Times New Roman"/>
          <w:sz w:val="28"/>
          <w:szCs w:val="28"/>
        </w:rPr>
      </w:pPr>
      <w:r>
        <w:rPr>
          <w:rFonts w:eastAsia="Calibri" w:cs="Times New Roman" w:ascii="Times New Roman" w:hAnsi="Times New Roman"/>
          <w:i/>
          <w:iCs/>
          <w:sz w:val="28"/>
          <w:szCs w:val="28"/>
        </w:rPr>
        <w:t>Рисунок 4.</w:t>
      </w:r>
      <w:r>
        <w:rPr>
          <w:rFonts w:eastAsia="Calibri" w:cs="Times New Roman" w:ascii="Times New Roman" w:hAnsi="Times New Roman"/>
          <w:sz w:val="28"/>
          <w:szCs w:val="28"/>
        </w:rPr>
        <w:t xml:space="preserve"> Технологическая схема производства молочного напитка с ячменем</w:t>
      </w:r>
      <w:bookmarkEnd w:id="2"/>
      <w:bookmarkEnd w:id="3"/>
    </w:p>
    <w:p>
      <w:pPr>
        <w:pStyle w:val="Normal"/>
        <w:spacing w:lineRule="auto" w:line="360" w:before="0" w:after="0"/>
        <w:ind w:firstLine="709"/>
        <w:jc w:val="both"/>
        <w:rPr>
          <w:rFonts w:ascii="Times New Roman" w:hAnsi="Times New Roman" w:eastAsia="Times New Roman" w:cs="Times New Roman"/>
          <w:iCs/>
          <w:sz w:val="28"/>
          <w:szCs w:val="28"/>
          <w:lang w:eastAsia="ru-RU"/>
        </w:rPr>
      </w:pPr>
      <w:r>
        <w:rPr>
          <w:rFonts w:eastAsia="Times New Roman" w:cs="Times New Roman" w:ascii="Times New Roman" w:hAnsi="Times New Roman"/>
          <w:iCs/>
          <w:sz w:val="28"/>
          <w:szCs w:val="28"/>
          <w:lang w:eastAsia="ru-RU"/>
        </w:rPr>
        <w:t xml:space="preserve">Разработанная рецептура обеспечивает повышенное содержание белка и низкое содержание жира в продукте. Выбранные режимы технологического процесса позволяют получить напиток с хорошими органолептическими и микробиологическими показателями. </w:t>
      </w:r>
    </w:p>
    <w:p>
      <w:pPr>
        <w:pStyle w:val="Normal"/>
        <w:spacing w:lineRule="auto" w:line="360" w:before="0" w:after="0"/>
        <w:ind w:firstLine="709"/>
        <w:jc w:val="center"/>
        <w:rPr>
          <w:rFonts w:ascii="Times New Roman" w:hAnsi="Times New Roman" w:eastAsia="Times New Roman" w:cs="Times New Roman"/>
          <w:b/>
          <w:b/>
          <w:bCs/>
          <w:iCs/>
          <w:sz w:val="28"/>
          <w:szCs w:val="28"/>
          <w:lang w:eastAsia="ru-RU"/>
        </w:rPr>
      </w:pPr>
      <w:r>
        <w:rPr>
          <w:rFonts w:eastAsia="Times New Roman" w:cs="Times New Roman" w:ascii="Times New Roman" w:hAnsi="Times New Roman"/>
          <w:b/>
          <w:bCs/>
          <w:iCs/>
          <w:sz w:val="28"/>
          <w:szCs w:val="28"/>
          <w:lang w:eastAsia="ru-RU"/>
        </w:rPr>
      </w:r>
    </w:p>
    <w:p>
      <w:pPr>
        <w:pStyle w:val="Normal"/>
        <w:spacing w:lineRule="auto" w:line="360" w:before="0" w:after="0"/>
        <w:ind w:firstLine="709"/>
        <w:jc w:val="center"/>
        <w:rPr>
          <w:rFonts w:ascii="Times New Roman" w:hAnsi="Times New Roman" w:eastAsia="Times New Roman" w:cs="Times New Roman"/>
          <w:b/>
          <w:b/>
          <w:bCs/>
          <w:iCs/>
          <w:sz w:val="28"/>
          <w:szCs w:val="28"/>
          <w:lang w:eastAsia="ru-RU"/>
        </w:rPr>
      </w:pPr>
      <w:r>
        <w:rPr>
          <w:rFonts w:eastAsia="Times New Roman" w:cs="Times New Roman" w:ascii="Times New Roman" w:hAnsi="Times New Roman"/>
          <w:b/>
          <w:bCs/>
          <w:iCs/>
          <w:sz w:val="28"/>
          <w:szCs w:val="28"/>
          <w:lang w:eastAsia="ru-RU"/>
        </w:rPr>
        <w:t>Обсуждение результатов</w:t>
      </w:r>
      <w:bookmarkStart w:id="4" w:name="_Toc103438367"/>
      <w:bookmarkStart w:id="5" w:name="_Toc103353865"/>
      <w:bookmarkEnd w:id="4"/>
      <w:bookmarkEnd w:id="5"/>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Комбинирование молочного и растительного сырья – распространенная практика расширения ассортимента продукции. Оптимально подобранные количества ингредиентов, не только улучшают органолептические и физико-химические показатели, но и могут придавать новые качества продукту (</w:t>
      </w:r>
      <w:r>
        <w:rPr>
          <w:rFonts w:cs="Times New Roman" w:ascii="Times New Roman" w:hAnsi="Times New Roman"/>
          <w:sz w:val="28"/>
          <w:szCs w:val="28"/>
          <w:lang w:val="en-US"/>
        </w:rPr>
        <w:t>Sayede</w:t>
      </w:r>
      <w:r>
        <w:rPr>
          <w:rFonts w:cs="Times New Roman" w:ascii="Times New Roman" w:hAnsi="Times New Roman"/>
          <w:sz w:val="28"/>
          <w:szCs w:val="28"/>
        </w:rPr>
        <w:t xml:space="preserve">, 2018; </w:t>
      </w:r>
      <w:r>
        <w:rPr>
          <w:rFonts w:cs="Times New Roman" w:ascii="Times New Roman" w:hAnsi="Times New Roman"/>
          <w:sz w:val="28"/>
          <w:szCs w:val="28"/>
          <w:lang w:val="en-US"/>
        </w:rPr>
        <w:t>Henrike</w:t>
      </w:r>
      <w:r>
        <w:rPr>
          <w:rFonts w:cs="Times New Roman" w:ascii="Times New Roman" w:hAnsi="Times New Roman"/>
          <w:sz w:val="28"/>
          <w:szCs w:val="28"/>
        </w:rPr>
        <w:t xml:space="preserve"> </w:t>
      </w:r>
      <w:r>
        <w:rPr>
          <w:rFonts w:cs="Times New Roman" w:ascii="Times New Roman" w:hAnsi="Times New Roman"/>
          <w:sz w:val="28"/>
          <w:szCs w:val="28"/>
          <w:lang w:val="en-US"/>
        </w:rPr>
        <w:t>Moeller</w:t>
      </w:r>
      <w:r>
        <w:rPr>
          <w:rFonts w:cs="Times New Roman" w:ascii="Times New Roman" w:hAnsi="Times New Roman"/>
          <w:sz w:val="28"/>
          <w:szCs w:val="28"/>
        </w:rPr>
        <w:t>, 2018; Бородулин, 2014). Данное исследование – пример выгодного сочетания СОМ с порошком ячменя, в результате которого получен напиток с высоким содержанием белка, что чрезвычайно актуально для профилактики и устранения дефицита белка у населения (</w:t>
      </w:r>
      <w:r>
        <w:rPr>
          <w:rFonts w:cs="Times New Roman" w:ascii="Times New Roman" w:hAnsi="Times New Roman"/>
          <w:sz w:val="28"/>
          <w:szCs w:val="28"/>
          <w:lang w:val="en-US"/>
        </w:rPr>
        <w:t>Henrike</w:t>
      </w:r>
      <w:r>
        <w:rPr>
          <w:rFonts w:cs="Times New Roman" w:ascii="Times New Roman" w:hAnsi="Times New Roman"/>
          <w:sz w:val="28"/>
          <w:szCs w:val="28"/>
        </w:rPr>
        <w:t xml:space="preserve"> </w:t>
      </w:r>
      <w:r>
        <w:rPr>
          <w:rFonts w:cs="Times New Roman" w:ascii="Times New Roman" w:hAnsi="Times New Roman"/>
          <w:sz w:val="28"/>
          <w:szCs w:val="28"/>
          <w:lang w:val="en-US"/>
        </w:rPr>
        <w:t>Moeller</w:t>
      </w:r>
      <w:r>
        <w:rPr>
          <w:rFonts w:cs="Times New Roman" w:ascii="Times New Roman" w:hAnsi="Times New Roman"/>
          <w:sz w:val="28"/>
          <w:szCs w:val="28"/>
        </w:rPr>
        <w:t xml:space="preserve">, 2018; </w:t>
      </w:r>
      <w:r>
        <w:rPr>
          <w:rFonts w:cs="Times New Roman" w:ascii="Times New Roman" w:hAnsi="Times New Roman"/>
          <w:sz w:val="28"/>
          <w:szCs w:val="28"/>
          <w:lang w:val="en-US"/>
        </w:rPr>
        <w:t>Garkavy</w:t>
      </w:r>
      <w:r>
        <w:rPr>
          <w:rFonts w:cs="Times New Roman" w:ascii="Times New Roman" w:hAnsi="Times New Roman"/>
          <w:sz w:val="28"/>
          <w:szCs w:val="28"/>
        </w:rPr>
        <w:t xml:space="preserve">, 1980; Новокшанова, 2020). </w:t>
      </w:r>
    </w:p>
    <w:p>
      <w:pPr>
        <w:pStyle w:val="Normal"/>
        <w:spacing w:lineRule="auto" w:line="360" w:before="0" w:after="0"/>
        <w:ind w:firstLine="709"/>
        <w:jc w:val="both"/>
        <w:rPr>
          <w:rFonts w:ascii="Times New Roman" w:hAnsi="Times New Roman" w:cs="Times New Roman"/>
          <w:sz w:val="28"/>
          <w:szCs w:val="28"/>
        </w:rPr>
      </w:pPr>
      <w:r>
        <w:rPr>
          <w:rFonts w:cs="Times New Roman" w:ascii="Times New Roman" w:hAnsi="Times New Roman"/>
          <w:sz w:val="28"/>
          <w:szCs w:val="28"/>
        </w:rPr>
        <w:t>По полученным результатам внесение порошка ячменя, привлекательно не только в плане органолептических показателей, но и оказало стабилизирующее действие на консистенцию</w:t>
      </w:r>
      <w:r>
        <w:rPr>
          <w:rFonts w:cs="Times New Roman" w:ascii="Times New Roman" w:hAnsi="Times New Roman"/>
          <w:color w:val="0070C0"/>
          <w:sz w:val="28"/>
          <w:szCs w:val="28"/>
        </w:rPr>
        <w:t xml:space="preserve"> </w:t>
      </w:r>
      <w:r>
        <w:rPr>
          <w:rFonts w:cs="Times New Roman" w:ascii="Times New Roman" w:hAnsi="Times New Roman"/>
          <w:sz w:val="28"/>
          <w:szCs w:val="28"/>
        </w:rPr>
        <w:t>образцов. В процессе производства и хранения не происходило образования осадка и расслоения системы. О подобном стабилизировании молочных систем с помощью растительных гидроколлоидов сообщали и другие авторы (</w:t>
      </w:r>
      <w:r>
        <w:rPr>
          <w:rFonts w:cs="Times New Roman" w:ascii="Times New Roman" w:hAnsi="Times New Roman"/>
          <w:sz w:val="28"/>
          <w:szCs w:val="28"/>
          <w:lang w:val="en-US"/>
        </w:rPr>
        <w:t>Menekse</w:t>
      </w:r>
      <w:r>
        <w:rPr>
          <w:rFonts w:cs="Times New Roman" w:ascii="Times New Roman" w:hAnsi="Times New Roman"/>
          <w:sz w:val="28"/>
          <w:szCs w:val="28"/>
        </w:rPr>
        <w:t xml:space="preserve"> </w:t>
      </w:r>
      <w:r>
        <w:rPr>
          <w:rFonts w:cs="Times New Roman" w:ascii="Times New Roman" w:hAnsi="Times New Roman"/>
          <w:sz w:val="28"/>
          <w:szCs w:val="28"/>
          <w:lang w:val="en-US"/>
        </w:rPr>
        <w:t>Bulut</w:t>
      </w:r>
      <w:r>
        <w:rPr>
          <w:rFonts w:cs="Times New Roman" w:ascii="Times New Roman" w:hAnsi="Times New Roman"/>
          <w:sz w:val="28"/>
          <w:szCs w:val="28"/>
        </w:rPr>
        <w:t xml:space="preserve">, 2021; </w:t>
      </w:r>
      <w:r>
        <w:rPr>
          <w:rFonts w:cs="Times New Roman" w:ascii="Times New Roman" w:hAnsi="Times New Roman"/>
          <w:sz w:val="28"/>
          <w:szCs w:val="28"/>
          <w:lang w:val="en-US"/>
        </w:rPr>
        <w:t>Sayede</w:t>
      </w:r>
      <w:r>
        <w:rPr>
          <w:rFonts w:cs="Times New Roman" w:ascii="Times New Roman" w:hAnsi="Times New Roman"/>
          <w:sz w:val="28"/>
          <w:szCs w:val="28"/>
        </w:rPr>
        <w:t xml:space="preserve"> </w:t>
      </w:r>
      <w:r>
        <w:rPr>
          <w:rFonts w:cs="Times New Roman" w:ascii="Times New Roman" w:hAnsi="Times New Roman"/>
          <w:sz w:val="28"/>
          <w:szCs w:val="28"/>
          <w:lang w:val="en-US"/>
        </w:rPr>
        <w:t>Fateme</w:t>
      </w:r>
      <w:r>
        <w:rPr>
          <w:rFonts w:cs="Times New Roman" w:ascii="Times New Roman" w:hAnsi="Times New Roman"/>
          <w:sz w:val="28"/>
          <w:szCs w:val="28"/>
        </w:rPr>
        <w:t>, 2018; Федотова, 2019). Повышение динамической вязкости образцов с увеличением массовой доли ячменя доказало, что внесение дополнительных злаковогого компонента способствовало сохранению однородности консистенции. Оптимально подобранные режимы пастеризации и хранения обеспечивают микробиологическую чистоту продукта до конца срока годности.</w:t>
      </w:r>
    </w:p>
    <w:p>
      <w:pPr>
        <w:pStyle w:val="ListParagraph"/>
        <w:spacing w:lineRule="auto" w:line="360" w:before="0" w:after="0"/>
        <w:ind w:left="0" w:firstLine="709"/>
        <w:contextualSpacing/>
        <w:jc w:val="both"/>
        <w:rPr>
          <w:rFonts w:ascii="Times New Roman" w:hAnsi="Times New Roman" w:cs="Times New Roman"/>
          <w:sz w:val="28"/>
          <w:szCs w:val="28"/>
        </w:rPr>
      </w:pPr>
      <w:r>
        <w:rPr>
          <w:rFonts w:cs="Times New Roman" w:ascii="Times New Roman" w:hAnsi="Times New Roman"/>
          <w:bCs/>
          <w:sz w:val="28"/>
          <w:szCs w:val="28"/>
        </w:rPr>
        <w:t>Научная новизна заключается</w:t>
      </w:r>
      <w:r>
        <w:rPr>
          <w:rFonts w:cs="Times New Roman" w:ascii="Times New Roman" w:hAnsi="Times New Roman"/>
          <w:sz w:val="28"/>
          <w:szCs w:val="28"/>
        </w:rPr>
        <w:t xml:space="preserve"> в теоретическом обосновании и разработке стабильной композиции молочного напитка с </w:t>
      </w:r>
      <w:r>
        <w:rPr>
          <w:rFonts w:eastAsia="Times New Roman" w:cs="Times New Roman" w:ascii="Times New Roman" w:hAnsi="Times New Roman"/>
          <w:iCs/>
          <w:sz w:val="28"/>
          <w:szCs w:val="28"/>
          <w:lang w:eastAsia="ru-RU"/>
        </w:rPr>
        <w:t>повышенным содержанием белка</w:t>
      </w:r>
      <w:r>
        <w:rPr>
          <w:rFonts w:cs="Times New Roman" w:ascii="Times New Roman" w:hAnsi="Times New Roman"/>
          <w:sz w:val="28"/>
          <w:szCs w:val="28"/>
        </w:rPr>
        <w:t xml:space="preserve">, состоящего из сухого обезжиренного молока, </w:t>
      </w:r>
      <w:r>
        <w:rPr>
          <w:rFonts w:eastAsia="Calibri" w:cs="Times New Roman" w:ascii="Times New Roman" w:hAnsi="Times New Roman"/>
          <w:sz w:val="28"/>
          <w:szCs w:val="28"/>
        </w:rPr>
        <w:t>ячменного порошка</w:t>
      </w:r>
      <w:r>
        <w:rPr>
          <w:rFonts w:cs="Times New Roman" w:ascii="Times New Roman" w:hAnsi="Times New Roman"/>
          <w:sz w:val="28"/>
          <w:szCs w:val="28"/>
        </w:rPr>
        <w:t xml:space="preserve"> и сиропа топинамбура.  </w:t>
      </w:r>
    </w:p>
    <w:p>
      <w:pPr>
        <w:pStyle w:val="ListParagraph"/>
        <w:spacing w:lineRule="auto" w:line="360" w:before="0" w:after="0"/>
        <w:ind w:left="0" w:firstLine="709"/>
        <w:contextualSpacing/>
        <w:jc w:val="both"/>
        <w:rPr>
          <w:rFonts w:ascii="Times New Roman" w:hAnsi="Times New Roman" w:cs="Times New Roman"/>
          <w:sz w:val="28"/>
          <w:szCs w:val="28"/>
          <w:lang w:val="en-US"/>
        </w:rPr>
      </w:pPr>
      <w:r>
        <w:rPr>
          <w:rFonts w:cs="Times New Roman" w:ascii="Times New Roman" w:hAnsi="Times New Roman"/>
          <w:sz w:val="28"/>
          <w:szCs w:val="28"/>
        </w:rPr>
        <w:t xml:space="preserve">Выпуск новых молочных продуктов с добавками растительного происхождения, например, ячменя, позволяет решить проблемы экономии сырьевых молочных ресурсов, использования ценнейшего растительного сырья и одновременно расширить ассортимент конкурентоспособных продуктов с привлекательными для потребителя органолептическими показателями и повышенной пищевой ценностью </w:t>
      </w:r>
      <w:r>
        <w:rPr>
          <w:rFonts w:cs="Times New Roman" w:ascii="Times New Roman" w:hAnsi="Times New Roman"/>
          <w:sz w:val="28"/>
          <w:szCs w:val="28"/>
          <w:lang w:val="en-US"/>
        </w:rPr>
        <w:t>(Sayede, 2018; Henrike Moeller, 2018</w:t>
      </w:r>
      <w:r>
        <w:rPr>
          <w:rFonts w:cs="Times New Roman" w:ascii="Times New Roman" w:hAnsi="Times New Roman"/>
          <w:sz w:val="28"/>
          <w:szCs w:val="28"/>
        </w:rPr>
        <w:t xml:space="preserve">; </w:t>
      </w:r>
      <w:r>
        <w:rPr>
          <w:rFonts w:cs="Times New Roman" w:ascii="Times New Roman" w:hAnsi="Times New Roman"/>
          <w:sz w:val="28"/>
          <w:szCs w:val="28"/>
          <w:lang w:val="en-US"/>
        </w:rPr>
        <w:t>Behall</w:t>
      </w:r>
      <w:r>
        <w:rPr>
          <w:rFonts w:cs="Times New Roman" w:ascii="Times New Roman" w:hAnsi="Times New Roman"/>
          <w:sz w:val="28"/>
          <w:szCs w:val="28"/>
        </w:rPr>
        <w:t xml:space="preserve">, 2004; </w:t>
      </w:r>
      <w:r>
        <w:rPr>
          <w:rFonts w:cs="Times New Roman" w:ascii="Times New Roman" w:hAnsi="Times New Roman"/>
          <w:sz w:val="28"/>
          <w:szCs w:val="28"/>
          <w:lang w:val="en-US"/>
        </w:rPr>
        <w:t>Garkavy</w:t>
      </w:r>
      <w:r>
        <w:rPr>
          <w:rFonts w:cs="Times New Roman" w:ascii="Times New Roman" w:hAnsi="Times New Roman"/>
          <w:sz w:val="28"/>
          <w:szCs w:val="28"/>
        </w:rPr>
        <w:t xml:space="preserve">, 1980; </w:t>
      </w:r>
      <w:r>
        <w:rPr>
          <w:rFonts w:cs="Times New Roman" w:ascii="Times New Roman" w:hAnsi="Times New Roman"/>
          <w:sz w:val="28"/>
          <w:szCs w:val="28"/>
          <w:lang w:val="en-US"/>
        </w:rPr>
        <w:t>Harland</w:t>
      </w:r>
      <w:r>
        <w:rPr>
          <w:rFonts w:cs="Times New Roman" w:ascii="Times New Roman" w:hAnsi="Times New Roman"/>
          <w:sz w:val="28"/>
          <w:szCs w:val="28"/>
        </w:rPr>
        <w:t>, 2014; Бородулин, 2014</w:t>
      </w:r>
      <w:r>
        <w:rPr>
          <w:rFonts w:cs="Times New Roman" w:ascii="Times New Roman" w:hAnsi="Times New Roman"/>
          <w:sz w:val="28"/>
          <w:szCs w:val="28"/>
          <w:lang w:val="en-US"/>
        </w:rPr>
        <w:t xml:space="preserve">). </w:t>
      </w:r>
    </w:p>
    <w:p>
      <w:pPr>
        <w:pStyle w:val="Normal"/>
        <w:spacing w:lineRule="auto" w:line="240" w:before="0" w:after="0"/>
        <w:ind w:firstLine="708"/>
        <w:contextualSpacing/>
        <w:jc w:val="both"/>
        <w:rPr>
          <w:rFonts w:ascii="Times New Roman" w:hAnsi="Times New Roman" w:cs="Times New Roman"/>
          <w:sz w:val="28"/>
          <w:szCs w:val="28"/>
        </w:rPr>
      </w:pPr>
      <w:r>
        <w:rPr>
          <w:rFonts w:cs="Times New Roman" w:ascii="Times New Roman" w:hAnsi="Times New Roman"/>
          <w:sz w:val="28"/>
          <w:szCs w:val="28"/>
        </w:rPr>
        <w:t xml:space="preserve">Материал подготовлен в рамках государственного задания </w:t>
      </w:r>
      <w:r>
        <w:rPr>
          <w:rFonts w:cs="Times New Roman" w:ascii="Times New Roman" w:hAnsi="Times New Roman"/>
          <w:sz w:val="28"/>
          <w:szCs w:val="28"/>
          <w:lang w:val="en-US"/>
        </w:rPr>
        <w:t>FGMF</w:t>
      </w:r>
      <w:r>
        <w:rPr>
          <w:rFonts w:cs="Times New Roman" w:ascii="Times New Roman" w:hAnsi="Times New Roman"/>
          <w:sz w:val="28"/>
          <w:szCs w:val="28"/>
        </w:rPr>
        <w:t>-2022-0002.</w:t>
      </w:r>
    </w:p>
    <w:p>
      <w:pPr>
        <w:pStyle w:val="Normal"/>
        <w:spacing w:before="0" w:after="0"/>
        <w:contextualSpacing/>
        <w:jc w:val="both"/>
        <w:rPr>
          <w:rFonts w:ascii="Times New Roman" w:hAnsi="Times New Roman" w:cs="Times New Roman"/>
          <w:sz w:val="24"/>
          <w:szCs w:val="24"/>
        </w:rPr>
      </w:pPr>
      <w:r>
        <w:rPr>
          <w:rFonts w:cs="Times New Roman" w:ascii="Times New Roman" w:hAnsi="Times New Roman"/>
          <w:sz w:val="24"/>
          <w:szCs w:val="24"/>
        </w:rPr>
      </w:r>
      <w:bookmarkStart w:id="6" w:name="_GoBack"/>
      <w:bookmarkStart w:id="7" w:name="_GoBack"/>
      <w:bookmarkEnd w:id="7"/>
    </w:p>
    <w:p>
      <w:pPr>
        <w:pStyle w:val="1"/>
        <w:spacing w:lineRule="auto" w:line="360" w:before="0" w:after="0"/>
        <w:contextualSpacing/>
        <w:jc w:val="center"/>
        <w:rPr>
          <w:rFonts w:ascii="Times New Roman" w:hAnsi="Times New Roman" w:cs="Times New Roman"/>
          <w:b/>
          <w:b/>
          <w:color w:val="000000" w:themeColor="text1"/>
          <w:sz w:val="28"/>
          <w:szCs w:val="28"/>
          <w:lang w:val="en-US"/>
        </w:rPr>
      </w:pPr>
      <w:bookmarkStart w:id="8" w:name="_Toc103438385"/>
      <w:r>
        <w:rPr>
          <w:rFonts w:cs="Times New Roman" w:ascii="Times New Roman" w:hAnsi="Times New Roman"/>
          <w:b/>
          <w:color w:val="000000" w:themeColor="text1"/>
          <w:sz w:val="28"/>
          <w:szCs w:val="28"/>
        </w:rPr>
        <w:t>Список</w:t>
      </w:r>
      <w:r>
        <w:rPr>
          <w:rFonts w:cs="Times New Roman" w:ascii="Times New Roman" w:hAnsi="Times New Roman"/>
          <w:b/>
          <w:color w:val="000000" w:themeColor="text1"/>
          <w:sz w:val="28"/>
          <w:szCs w:val="28"/>
          <w:lang w:val="en-US"/>
        </w:rPr>
        <w:t xml:space="preserve"> </w:t>
      </w:r>
      <w:r>
        <w:rPr>
          <w:rFonts w:cs="Times New Roman" w:ascii="Times New Roman" w:hAnsi="Times New Roman"/>
          <w:b/>
          <w:color w:val="000000" w:themeColor="text1"/>
          <w:sz w:val="28"/>
          <w:szCs w:val="28"/>
        </w:rPr>
        <w:t>литературы</w:t>
      </w:r>
      <w:bookmarkEnd w:id="8"/>
    </w:p>
    <w:p>
      <w:pPr>
        <w:pStyle w:val="ListParagraph"/>
        <w:numPr>
          <w:ilvl w:val="0"/>
          <w:numId w:val="1"/>
        </w:numPr>
        <w:spacing w:lineRule="auto" w:line="360" w:before="0" w:after="0"/>
        <w:ind w:left="0" w:hanging="0"/>
        <w:contextualSpacing/>
        <w:jc w:val="both"/>
        <w:rPr>
          <w:rFonts w:ascii="Times New Roman" w:hAnsi="Times New Roman" w:cs="Times New Roman"/>
          <w:sz w:val="28"/>
          <w:szCs w:val="28"/>
          <w:lang w:val="en-US"/>
        </w:rPr>
      </w:pPr>
      <w:r>
        <w:rPr>
          <w:rFonts w:cs="Times New Roman" w:ascii="Times New Roman" w:hAnsi="Times New Roman"/>
          <w:color w:val="0A0A0A"/>
          <w:sz w:val="28"/>
          <w:szCs w:val="28"/>
          <w:shd w:fill="FEFEFE" w:val="clear"/>
          <w:lang w:val="en-US"/>
        </w:rPr>
        <w:t>Alexander C., Swanson K.S., Fahey G.C., Garleb K.A. Perspective: physiologic importance of short-chain fatty acids from nondigestible carbohydrate fermentation. Adv Nutr. 2019; 10 (4): 576-89. DOI: </w:t>
      </w:r>
      <w:hyperlink r:id="rId6">
        <w:r>
          <w:rPr>
            <w:rFonts w:cs="Times New Roman" w:ascii="Times New Roman" w:hAnsi="Times New Roman"/>
            <w:color w:val="3B65AD"/>
            <w:sz w:val="28"/>
            <w:szCs w:val="28"/>
            <w:shd w:fill="FEFEFE" w:val="clear"/>
            <w:lang w:val="en-US"/>
          </w:rPr>
          <w:t>https://doi.org/10.1093/advances/nmz004</w:t>
        </w:r>
      </w:hyperlink>
      <w:r>
        <w:rPr>
          <w:rStyle w:val="Style11"/>
          <w:rFonts w:cs="Times New Roman" w:ascii="Times New Roman" w:hAnsi="Times New Roman"/>
          <w:color w:val="3B65AD"/>
          <w:sz w:val="28"/>
          <w:szCs w:val="28"/>
          <w:shd w:fill="FEFEFE" w:val="clear"/>
          <w:lang w:val="en-US"/>
        </w:rPr>
        <w:t>.</w:t>
      </w:r>
    </w:p>
    <w:p>
      <w:pPr>
        <w:pStyle w:val="ListParagraph"/>
        <w:numPr>
          <w:ilvl w:val="0"/>
          <w:numId w:val="1"/>
        </w:numPr>
        <w:spacing w:lineRule="auto" w:line="360" w:before="0" w:after="0"/>
        <w:ind w:left="0" w:hanging="0"/>
        <w:contextualSpacing/>
        <w:jc w:val="both"/>
        <w:rPr>
          <w:rFonts w:ascii="Times New Roman" w:hAnsi="Times New Roman" w:cs="Times New Roman"/>
          <w:sz w:val="28"/>
          <w:szCs w:val="28"/>
          <w:lang w:val="en-US"/>
        </w:rPr>
      </w:pPr>
      <w:r>
        <w:rPr>
          <w:rFonts w:cs="Times New Roman" w:ascii="Times New Roman" w:hAnsi="Times New Roman"/>
          <w:color w:val="0A0A0A"/>
          <w:sz w:val="28"/>
          <w:szCs w:val="28"/>
          <w:shd w:fill="FEFEFE" w:val="clear"/>
          <w:lang w:val="en-US"/>
        </w:rPr>
        <w:t>Barber T.M., Kabisch S., Pfeiffer A.F.H., Weickert M.O. The health benefits of dietary fibre. Nutrients. 2020; 12 (10): 3209. DOI: https://doi.org/10.3390/nu12103209 URL: </w:t>
      </w:r>
      <w:hyperlink r:id="rId7">
        <w:r>
          <w:rPr>
            <w:rFonts w:cs="Times New Roman" w:ascii="Times New Roman" w:hAnsi="Times New Roman"/>
            <w:color w:val="3B65AD"/>
            <w:sz w:val="28"/>
            <w:szCs w:val="28"/>
            <w:shd w:fill="FEFEFE" w:val="clear"/>
            <w:lang w:val="en-US"/>
          </w:rPr>
          <w:t>www.mdpi.com/journal/nutrients</w:t>
        </w:r>
      </w:hyperlink>
      <w:r>
        <w:rPr>
          <w:rStyle w:val="Style11"/>
          <w:rFonts w:cs="Times New Roman" w:ascii="Times New Roman" w:hAnsi="Times New Roman"/>
          <w:color w:val="3B65AD"/>
          <w:sz w:val="28"/>
          <w:szCs w:val="28"/>
          <w:shd w:fill="FEFEFE" w:val="clear"/>
          <w:lang w:val="en-US"/>
        </w:rPr>
        <w:t>.</w:t>
      </w:r>
    </w:p>
    <w:p>
      <w:pPr>
        <w:pStyle w:val="ListParagraph"/>
        <w:numPr>
          <w:ilvl w:val="0"/>
          <w:numId w:val="1"/>
        </w:numPr>
        <w:spacing w:lineRule="auto" w:line="360" w:before="0" w:after="0"/>
        <w:ind w:left="0" w:hanging="0"/>
        <w:contextualSpacing/>
        <w:jc w:val="both"/>
        <w:rPr>
          <w:rFonts w:ascii="Times New Roman" w:hAnsi="Times New Roman" w:cs="Times New Roman"/>
          <w:sz w:val="28"/>
          <w:szCs w:val="28"/>
          <w:lang w:val="en-US"/>
        </w:rPr>
      </w:pPr>
      <w:r>
        <w:rPr>
          <w:rFonts w:cs="Times New Roman" w:ascii="Times New Roman" w:hAnsi="Times New Roman"/>
          <w:sz w:val="28"/>
          <w:szCs w:val="28"/>
          <w:lang w:val="en-US"/>
        </w:rPr>
        <w:t>Behall K.M., Scholfield D.J., Hallfrisch J. Diets containing barley significantly reduce lipids in mildly hypercholesterolemic men and women. American Journal of Clinical Nutrition. 2004;80(5):1185-1193. DOI: 10.1093/ ajcn/80.5.1185</w:t>
      </w:r>
      <w:r>
        <w:rPr>
          <w:rFonts w:cs="Times New Roman" w:ascii="Times New Roman" w:hAnsi="Times New Roman"/>
          <w:sz w:val="28"/>
          <w:szCs w:val="28"/>
        </w:rPr>
        <w:t>.</w:t>
      </w:r>
    </w:p>
    <w:p>
      <w:pPr>
        <w:pStyle w:val="ListParagraph"/>
        <w:numPr>
          <w:ilvl w:val="0"/>
          <w:numId w:val="1"/>
        </w:numPr>
        <w:spacing w:lineRule="auto" w:line="360" w:before="0" w:after="0"/>
        <w:ind w:left="0" w:hanging="0"/>
        <w:contextualSpacing/>
        <w:jc w:val="both"/>
        <w:rPr>
          <w:rFonts w:ascii="Times New Roman" w:hAnsi="Times New Roman" w:cs="Times New Roman"/>
          <w:sz w:val="28"/>
          <w:szCs w:val="28"/>
          <w:lang w:val="en-US"/>
        </w:rPr>
      </w:pPr>
      <w:r>
        <w:rPr>
          <w:rFonts w:cs="Times New Roman" w:ascii="Times New Roman" w:hAnsi="Times New Roman"/>
          <w:color w:val="0A0A0A"/>
          <w:sz w:val="28"/>
          <w:szCs w:val="28"/>
          <w:shd w:fill="FEFEFE" w:val="clear"/>
          <w:lang w:val="en-US"/>
        </w:rPr>
        <w:t>Belobrajdic D.P., Jenkins C.L.D., Christophersen C.T., Bird A.R. Cereal fructan extracts alter intestinal fermentation to reduce adiposity and increase mineral retention compared to oligofructose. Eur J Nutr. 2019; 58 (7): 2811-21. DOI: </w:t>
      </w:r>
      <w:hyperlink r:id="rId8">
        <w:r>
          <w:rPr>
            <w:rFonts w:cs="Times New Roman" w:ascii="Times New Roman" w:hAnsi="Times New Roman"/>
            <w:color w:val="3B65AD"/>
            <w:sz w:val="28"/>
            <w:szCs w:val="28"/>
            <w:shd w:fill="FEFEFE" w:val="clear"/>
            <w:lang w:val="en-US"/>
          </w:rPr>
          <w:t>https://doi.org/10.1007/s00394-018-1830-y</w:t>
        </w:r>
      </w:hyperlink>
      <w:r>
        <w:rPr>
          <w:rStyle w:val="Style11"/>
          <w:rFonts w:cs="Times New Roman" w:ascii="Times New Roman" w:hAnsi="Times New Roman"/>
          <w:color w:val="3B65AD"/>
          <w:sz w:val="28"/>
          <w:szCs w:val="28"/>
          <w:shd w:fill="FEFEFE" w:val="clear"/>
        </w:rPr>
        <w:t>.</w:t>
      </w:r>
    </w:p>
    <w:p>
      <w:pPr>
        <w:pStyle w:val="ListParagraph"/>
        <w:numPr>
          <w:ilvl w:val="0"/>
          <w:numId w:val="1"/>
        </w:numPr>
        <w:spacing w:lineRule="auto" w:line="360" w:before="0" w:after="0"/>
        <w:ind w:left="0" w:hanging="0"/>
        <w:contextualSpacing/>
        <w:jc w:val="both"/>
        <w:rPr>
          <w:rFonts w:ascii="Times New Roman" w:hAnsi="Times New Roman" w:eastAsia="Calibri" w:cs="Times New Roman"/>
          <w:bCs/>
          <w:sz w:val="28"/>
          <w:szCs w:val="28"/>
          <w:lang w:val="en-US"/>
        </w:rPr>
      </w:pPr>
      <w:r>
        <w:rPr>
          <w:rFonts w:cs="Times New Roman" w:ascii="Times New Roman" w:hAnsi="Times New Roman"/>
          <w:sz w:val="28"/>
          <w:szCs w:val="28"/>
          <w:lang w:val="en-US"/>
        </w:rPr>
        <w:t xml:space="preserve">Bozbulut R., Sanlier N. Promising effects of </w:t>
      </w:r>
      <w:r>
        <w:rPr>
          <w:rFonts w:cs="Times New Roman" w:ascii="Times New Roman" w:hAnsi="Times New Roman"/>
          <w:sz w:val="28"/>
          <w:szCs w:val="28"/>
        </w:rPr>
        <w:t>β</w:t>
      </w:r>
      <w:r>
        <w:rPr>
          <w:rFonts w:cs="Times New Roman" w:ascii="Times New Roman" w:hAnsi="Times New Roman"/>
          <w:sz w:val="28"/>
          <w:szCs w:val="28"/>
          <w:lang w:val="en-US"/>
        </w:rPr>
        <w:t>-glucans on glyceamic control in diabetes. Trends in Food Science and Technology. 2019;83(1):159-166. DOI: 10.1016/ j.tifs.2018.11.018</w:t>
      </w:r>
      <w:r>
        <w:rPr>
          <w:rFonts w:cs="Times New Roman" w:ascii="Times New Roman" w:hAnsi="Times New Roman"/>
          <w:sz w:val="28"/>
          <w:szCs w:val="28"/>
        </w:rPr>
        <w:t>.</w:t>
      </w:r>
    </w:p>
    <w:p>
      <w:pPr>
        <w:pStyle w:val="ListParagraph"/>
        <w:numPr>
          <w:ilvl w:val="0"/>
          <w:numId w:val="1"/>
        </w:numPr>
        <w:spacing w:lineRule="auto" w:line="360" w:before="0" w:after="0"/>
        <w:ind w:left="0" w:hanging="0"/>
        <w:contextualSpacing/>
        <w:jc w:val="both"/>
        <w:rPr>
          <w:rFonts w:ascii="Times New Roman" w:hAnsi="Times New Roman" w:cs="Times New Roman"/>
          <w:sz w:val="28"/>
          <w:szCs w:val="28"/>
          <w:lang w:val="en-US"/>
        </w:rPr>
      </w:pPr>
      <w:r>
        <w:rPr>
          <w:rFonts w:cs="Times New Roman" w:ascii="Times New Roman" w:hAnsi="Times New Roman"/>
          <w:sz w:val="28"/>
          <w:szCs w:val="28"/>
          <w:lang w:val="en-US"/>
        </w:rPr>
        <w:t xml:space="preserve">Comparative studies of loading lipophilic substances into casein micelles and investigating the influence of whey proteins and heat treatment on loading stability Henrike Moeller, Dierk Martin, Katrin Schrader, Wolfgang Hoffmann, Stefanie Pargmann, Janina Kurz, Peter Chr. Lorenzen First published: 08 June 2018 Volume 71 Issue 4. </w:t>
      </w:r>
      <w:r>
        <w:rPr>
          <w:rFonts w:cs="Times New Roman" w:ascii="Times New Roman" w:hAnsi="Times New Roman"/>
          <w:sz w:val="28"/>
          <w:szCs w:val="28"/>
        </w:rPr>
        <w:t>Р</w:t>
      </w:r>
      <w:r>
        <w:rPr>
          <w:rFonts w:cs="Times New Roman" w:ascii="Times New Roman" w:hAnsi="Times New Roman"/>
          <w:sz w:val="28"/>
          <w:szCs w:val="28"/>
          <w:lang w:val="en-US"/>
        </w:rPr>
        <w:t>. 1-12. doi: 10.1111/1471-0307.12535.</w:t>
      </w:r>
    </w:p>
    <w:p>
      <w:pPr>
        <w:pStyle w:val="ListParagraph"/>
        <w:numPr>
          <w:ilvl w:val="0"/>
          <w:numId w:val="1"/>
        </w:numPr>
        <w:spacing w:lineRule="auto" w:line="360" w:before="0" w:after="0"/>
        <w:ind w:left="0" w:hanging="0"/>
        <w:contextualSpacing/>
        <w:jc w:val="both"/>
        <w:rPr>
          <w:rFonts w:ascii="Times New Roman" w:hAnsi="Times New Roman" w:eastAsia="Calibri" w:cs="Times New Roman"/>
          <w:bCs/>
          <w:sz w:val="28"/>
          <w:szCs w:val="28"/>
          <w:lang w:val="en-US"/>
        </w:rPr>
      </w:pPr>
      <w:r>
        <w:rPr>
          <w:rFonts w:cs="Times New Roman" w:ascii="Times New Roman" w:hAnsi="Times New Roman"/>
          <w:sz w:val="28"/>
          <w:szCs w:val="28"/>
          <w:lang w:val="en-US"/>
        </w:rPr>
        <w:t xml:space="preserve">Effect of fortification of set-type yoghurt with different plant extracts on its physicochemical, rheological, textural and sensory properties during storage </w:t>
      </w:r>
      <w:hyperlink r:id="rId9">
        <w:r>
          <w:rPr>
            <w:rFonts w:cs="Times New Roman" w:ascii="Times New Roman" w:hAnsi="Times New Roman"/>
            <w:color w:val="auto"/>
            <w:sz w:val="28"/>
            <w:szCs w:val="28"/>
            <w:lang w:val="en-US"/>
          </w:rPr>
          <w:t>Menekşe Bulut</w:t>
        </w:r>
      </w:hyperlink>
      <w:r>
        <w:rPr>
          <w:rFonts w:cs="Times New Roman" w:ascii="Times New Roman" w:hAnsi="Times New Roman"/>
          <w:sz w:val="28"/>
          <w:szCs w:val="28"/>
          <w:lang w:val="en-US"/>
        </w:rPr>
        <w:t xml:space="preserve">, </w:t>
      </w:r>
      <w:hyperlink r:id="rId10">
        <w:r>
          <w:rPr>
            <w:rFonts w:cs="Times New Roman" w:ascii="Times New Roman" w:hAnsi="Times New Roman"/>
            <w:color w:val="auto"/>
            <w:sz w:val="28"/>
            <w:szCs w:val="28"/>
            <w:lang w:val="en-US"/>
          </w:rPr>
          <w:t>Yusuf Tunçtürk</w:t>
        </w:r>
      </w:hyperlink>
      <w:r>
        <w:rPr>
          <w:rFonts w:cs="Times New Roman" w:ascii="Times New Roman" w:hAnsi="Times New Roman"/>
          <w:sz w:val="28"/>
          <w:szCs w:val="28"/>
          <w:lang w:val="en-US"/>
        </w:rPr>
        <w:t xml:space="preserve">, </w:t>
      </w:r>
      <w:hyperlink r:id="rId11">
        <w:r>
          <w:rPr>
            <w:rFonts w:cs="Times New Roman" w:ascii="Times New Roman" w:hAnsi="Times New Roman"/>
            <w:color w:val="auto"/>
            <w:sz w:val="28"/>
            <w:szCs w:val="28"/>
            <w:lang w:val="en-US"/>
          </w:rPr>
          <w:t>Duried Alwazeer</w:t>
        </w:r>
      </w:hyperlink>
      <w:r>
        <w:rPr>
          <w:rFonts w:cs="Times New Roman" w:ascii="Times New Roman" w:hAnsi="Times New Roman"/>
          <w:sz w:val="28"/>
          <w:szCs w:val="28"/>
          <w:lang w:val="en-US"/>
        </w:rPr>
        <w:t xml:space="preserve"> / </w:t>
      </w:r>
      <w:hyperlink r:id="rId12">
        <w:r>
          <w:rPr>
            <w:rFonts w:cs="Times New Roman" w:ascii="Times New Roman" w:hAnsi="Times New Roman"/>
            <w:color w:val="auto"/>
            <w:sz w:val="28"/>
            <w:szCs w:val="28"/>
            <w:lang w:val="en-US"/>
          </w:rPr>
          <w:t>International Journal of Dairy Technology</w:t>
        </w:r>
      </w:hyperlink>
      <w:r>
        <w:rPr>
          <w:rFonts w:cs="Times New Roman" w:ascii="Times New Roman" w:hAnsi="Times New Roman"/>
          <w:sz w:val="28"/>
          <w:szCs w:val="28"/>
          <w:lang w:val="en-US"/>
        </w:rPr>
        <w:t xml:space="preserve"> November 2021. Pages 723-736.</w:t>
      </w:r>
    </w:p>
    <w:p>
      <w:pPr>
        <w:pStyle w:val="ListParagraph"/>
        <w:numPr>
          <w:ilvl w:val="0"/>
          <w:numId w:val="1"/>
        </w:numPr>
        <w:spacing w:lineRule="auto" w:line="360" w:before="0" w:after="0"/>
        <w:ind w:left="0" w:hanging="0"/>
        <w:contextualSpacing/>
        <w:jc w:val="both"/>
        <w:rPr>
          <w:rFonts w:ascii="Times New Roman" w:hAnsi="Times New Roman" w:cs="Times New Roman"/>
          <w:sz w:val="28"/>
          <w:szCs w:val="28"/>
          <w:lang w:val="en-US"/>
        </w:rPr>
      </w:pPr>
      <w:r>
        <w:rPr>
          <w:rFonts w:cs="Times New Roman" w:ascii="Times New Roman" w:hAnsi="Times New Roman"/>
          <w:sz w:val="28"/>
          <w:szCs w:val="28"/>
          <w:lang w:val="en-US"/>
        </w:rPr>
        <w:t>Effect of heat treatment and solution preparation procedure on colloidal stability of whey protein sour cherry beverage</w:t>
      </w:r>
      <w:r>
        <w:rPr>
          <w:rFonts w:cs="Times New Roman" w:ascii="Times New Roman" w:hAnsi="Times New Roman"/>
          <w:sz w:val="28"/>
          <w:szCs w:val="28"/>
          <w:lang w:val="de-DE"/>
        </w:rPr>
        <w:t xml:space="preserve"> </w:t>
      </w:r>
      <w:r>
        <w:rPr>
          <w:rFonts w:cs="Times New Roman" w:ascii="Times New Roman" w:hAnsi="Times New Roman"/>
          <w:sz w:val="28"/>
          <w:szCs w:val="28"/>
          <w:lang w:val="en-US"/>
        </w:rPr>
        <w:t xml:space="preserve">Sayede Fateme Ahmadi Ali Nasirpour Sayed Amir H. Goli </w:t>
      </w:r>
      <w:hyperlink r:id="rId13">
        <w:r>
          <w:rPr>
            <w:rFonts w:cs="Times New Roman" w:ascii="Times New Roman" w:hAnsi="Times New Roman"/>
            <w:color w:val="auto"/>
            <w:sz w:val="28"/>
            <w:szCs w:val="28"/>
            <w:lang w:val="en-US"/>
          </w:rPr>
          <w:t>Esmaeil Riahi</w:t>
        </w:r>
      </w:hyperlink>
      <w:r>
        <w:rPr>
          <w:rFonts w:cs="Times New Roman" w:ascii="Times New Roman" w:hAnsi="Times New Roman"/>
          <w:sz w:val="28"/>
          <w:szCs w:val="28"/>
          <w:lang w:val="en-US"/>
        </w:rPr>
        <w:t xml:space="preserve"> First published: 15 January 2018 Volume 71 Issue 3. </w:t>
      </w:r>
      <w:r>
        <w:rPr>
          <w:rFonts w:cs="Times New Roman" w:ascii="Times New Roman" w:hAnsi="Times New Roman"/>
          <w:sz w:val="28"/>
          <w:szCs w:val="28"/>
        </w:rPr>
        <w:t>Р</w:t>
      </w:r>
      <w:r>
        <w:rPr>
          <w:rFonts w:cs="Times New Roman" w:ascii="Times New Roman" w:hAnsi="Times New Roman"/>
          <w:sz w:val="28"/>
          <w:szCs w:val="28"/>
          <w:lang w:val="en-US"/>
        </w:rPr>
        <w:t>. 1-9. doi: 10.1111/1471-0307.12453.</w:t>
      </w:r>
    </w:p>
    <w:p>
      <w:pPr>
        <w:pStyle w:val="ListParagraph"/>
        <w:numPr>
          <w:ilvl w:val="0"/>
          <w:numId w:val="1"/>
        </w:numPr>
        <w:spacing w:lineRule="auto" w:line="360" w:before="0" w:after="0"/>
        <w:ind w:left="0" w:hanging="0"/>
        <w:contextualSpacing/>
        <w:jc w:val="both"/>
        <w:rPr>
          <w:rFonts w:ascii="Times New Roman" w:hAnsi="Times New Roman" w:cs="Times New Roman"/>
          <w:sz w:val="28"/>
          <w:szCs w:val="28"/>
          <w:lang w:val="en-US"/>
        </w:rPr>
      </w:pPr>
      <w:r>
        <w:rPr>
          <w:rFonts w:cs="Times New Roman" w:ascii="Times New Roman" w:hAnsi="Times New Roman"/>
          <w:sz w:val="28"/>
          <w:szCs w:val="28"/>
          <w:lang w:val="en-US"/>
        </w:rPr>
        <w:t>Garkavy P.F., Pylneva P.N. Amino acid composition of grain in common and high-lysine forms of barley (Aminokislotny sostav zerna obychnykh i vysokolizinovykh form yachmenya). Vestnik selskokhozyaystvennoy nauki = Bulletin of Agricultural Science. 1980; 7:71-73. [in Russian] (</w:t>
      </w:r>
      <w:r>
        <w:rPr>
          <w:rFonts w:cs="Times New Roman" w:ascii="Times New Roman" w:hAnsi="Times New Roman"/>
          <w:sz w:val="28"/>
          <w:szCs w:val="28"/>
        </w:rPr>
        <w:t>Гаркавый</w:t>
      </w:r>
      <w:r>
        <w:rPr>
          <w:rFonts w:cs="Times New Roman" w:ascii="Times New Roman" w:hAnsi="Times New Roman"/>
          <w:sz w:val="28"/>
          <w:szCs w:val="28"/>
          <w:lang w:val="en-US"/>
        </w:rPr>
        <w:t xml:space="preserve"> </w:t>
      </w:r>
      <w:r>
        <w:rPr>
          <w:rFonts w:cs="Times New Roman" w:ascii="Times New Roman" w:hAnsi="Times New Roman"/>
          <w:sz w:val="28"/>
          <w:szCs w:val="28"/>
        </w:rPr>
        <w:t>П</w:t>
      </w:r>
      <w:r>
        <w:rPr>
          <w:rFonts w:cs="Times New Roman" w:ascii="Times New Roman" w:hAnsi="Times New Roman"/>
          <w:sz w:val="28"/>
          <w:szCs w:val="28"/>
          <w:lang w:val="en-US"/>
        </w:rPr>
        <w:t>.</w:t>
      </w:r>
      <w:r>
        <w:rPr>
          <w:rFonts w:cs="Times New Roman" w:ascii="Times New Roman" w:hAnsi="Times New Roman"/>
          <w:sz w:val="28"/>
          <w:szCs w:val="28"/>
        </w:rPr>
        <w:t>Ф</w:t>
      </w:r>
      <w:r>
        <w:rPr>
          <w:rFonts w:cs="Times New Roman" w:ascii="Times New Roman" w:hAnsi="Times New Roman"/>
          <w:sz w:val="28"/>
          <w:szCs w:val="28"/>
          <w:lang w:val="en-US"/>
        </w:rPr>
        <w:t xml:space="preserve">., </w:t>
      </w:r>
      <w:r>
        <w:rPr>
          <w:rFonts w:cs="Times New Roman" w:ascii="Times New Roman" w:hAnsi="Times New Roman"/>
          <w:sz w:val="28"/>
          <w:szCs w:val="28"/>
        </w:rPr>
        <w:t>Пыльнева</w:t>
      </w:r>
      <w:r>
        <w:rPr>
          <w:rFonts w:cs="Times New Roman" w:ascii="Times New Roman" w:hAnsi="Times New Roman"/>
          <w:sz w:val="28"/>
          <w:szCs w:val="28"/>
          <w:lang w:val="en-US"/>
        </w:rPr>
        <w:t xml:space="preserve"> </w:t>
      </w:r>
      <w:r>
        <w:rPr>
          <w:rFonts w:cs="Times New Roman" w:ascii="Times New Roman" w:hAnsi="Times New Roman"/>
          <w:sz w:val="28"/>
          <w:szCs w:val="28"/>
        </w:rPr>
        <w:t>П</w:t>
      </w:r>
      <w:r>
        <w:rPr>
          <w:rFonts w:cs="Times New Roman" w:ascii="Times New Roman" w:hAnsi="Times New Roman"/>
          <w:sz w:val="28"/>
          <w:szCs w:val="28"/>
          <w:lang w:val="en-US"/>
        </w:rPr>
        <w:t>.</w:t>
      </w:r>
      <w:r>
        <w:rPr>
          <w:rFonts w:cs="Times New Roman" w:ascii="Times New Roman" w:hAnsi="Times New Roman"/>
          <w:sz w:val="28"/>
          <w:szCs w:val="28"/>
        </w:rPr>
        <w:t>Н</w:t>
      </w:r>
      <w:r>
        <w:rPr>
          <w:rFonts w:cs="Times New Roman" w:ascii="Times New Roman" w:hAnsi="Times New Roman"/>
          <w:sz w:val="28"/>
          <w:szCs w:val="28"/>
          <w:lang w:val="en-US"/>
        </w:rPr>
        <w:t xml:space="preserve">. </w:t>
      </w:r>
      <w:r>
        <w:rPr>
          <w:rFonts w:cs="Times New Roman" w:ascii="Times New Roman" w:hAnsi="Times New Roman"/>
          <w:sz w:val="28"/>
          <w:szCs w:val="28"/>
        </w:rPr>
        <w:t>Аминокислотный</w:t>
      </w:r>
      <w:r>
        <w:rPr>
          <w:rFonts w:cs="Times New Roman" w:ascii="Times New Roman" w:hAnsi="Times New Roman"/>
          <w:sz w:val="28"/>
          <w:szCs w:val="28"/>
          <w:lang w:val="en-US"/>
        </w:rPr>
        <w:t xml:space="preserve"> </w:t>
      </w:r>
      <w:r>
        <w:rPr>
          <w:rFonts w:cs="Times New Roman" w:ascii="Times New Roman" w:hAnsi="Times New Roman"/>
          <w:sz w:val="28"/>
          <w:szCs w:val="28"/>
        </w:rPr>
        <w:t>состав</w:t>
      </w:r>
      <w:r>
        <w:rPr>
          <w:rFonts w:cs="Times New Roman" w:ascii="Times New Roman" w:hAnsi="Times New Roman"/>
          <w:sz w:val="28"/>
          <w:szCs w:val="28"/>
          <w:lang w:val="en-US"/>
        </w:rPr>
        <w:t xml:space="preserve"> </w:t>
      </w:r>
      <w:r>
        <w:rPr>
          <w:rFonts w:cs="Times New Roman" w:ascii="Times New Roman" w:hAnsi="Times New Roman"/>
          <w:sz w:val="28"/>
          <w:szCs w:val="28"/>
        </w:rPr>
        <w:t>зерна</w:t>
      </w:r>
      <w:r>
        <w:rPr>
          <w:rFonts w:cs="Times New Roman" w:ascii="Times New Roman" w:hAnsi="Times New Roman"/>
          <w:sz w:val="28"/>
          <w:szCs w:val="28"/>
          <w:lang w:val="en-US"/>
        </w:rPr>
        <w:t xml:space="preserve"> </w:t>
      </w:r>
      <w:r>
        <w:rPr>
          <w:rFonts w:cs="Times New Roman" w:ascii="Times New Roman" w:hAnsi="Times New Roman"/>
          <w:sz w:val="28"/>
          <w:szCs w:val="28"/>
        </w:rPr>
        <w:t>обычных</w:t>
      </w:r>
      <w:r>
        <w:rPr>
          <w:rFonts w:cs="Times New Roman" w:ascii="Times New Roman" w:hAnsi="Times New Roman"/>
          <w:sz w:val="28"/>
          <w:szCs w:val="28"/>
          <w:lang w:val="en-US"/>
        </w:rPr>
        <w:t xml:space="preserve"> </w:t>
      </w:r>
      <w:r>
        <w:rPr>
          <w:rFonts w:cs="Times New Roman" w:ascii="Times New Roman" w:hAnsi="Times New Roman"/>
          <w:sz w:val="28"/>
          <w:szCs w:val="28"/>
        </w:rPr>
        <w:t>и</w:t>
      </w:r>
      <w:r>
        <w:rPr>
          <w:rFonts w:cs="Times New Roman" w:ascii="Times New Roman" w:hAnsi="Times New Roman"/>
          <w:sz w:val="28"/>
          <w:szCs w:val="28"/>
          <w:lang w:val="en-US"/>
        </w:rPr>
        <w:t xml:space="preserve"> </w:t>
      </w:r>
      <w:r>
        <w:rPr>
          <w:rFonts w:cs="Times New Roman" w:ascii="Times New Roman" w:hAnsi="Times New Roman"/>
          <w:sz w:val="28"/>
          <w:szCs w:val="28"/>
        </w:rPr>
        <w:t>высоколизиновых</w:t>
      </w:r>
      <w:r>
        <w:rPr>
          <w:rFonts w:cs="Times New Roman" w:ascii="Times New Roman" w:hAnsi="Times New Roman"/>
          <w:sz w:val="28"/>
          <w:szCs w:val="28"/>
          <w:lang w:val="en-US"/>
        </w:rPr>
        <w:t xml:space="preserve"> </w:t>
      </w:r>
      <w:r>
        <w:rPr>
          <w:rFonts w:cs="Times New Roman" w:ascii="Times New Roman" w:hAnsi="Times New Roman"/>
          <w:sz w:val="28"/>
          <w:szCs w:val="28"/>
        </w:rPr>
        <w:t>форм</w:t>
      </w:r>
      <w:r>
        <w:rPr>
          <w:rFonts w:cs="Times New Roman" w:ascii="Times New Roman" w:hAnsi="Times New Roman"/>
          <w:sz w:val="28"/>
          <w:szCs w:val="28"/>
          <w:lang w:val="en-US"/>
        </w:rPr>
        <w:t xml:space="preserve"> </w:t>
      </w:r>
      <w:r>
        <w:rPr>
          <w:rFonts w:cs="Times New Roman" w:ascii="Times New Roman" w:hAnsi="Times New Roman"/>
          <w:sz w:val="28"/>
          <w:szCs w:val="28"/>
        </w:rPr>
        <w:t>ячменя</w:t>
      </w:r>
      <w:r>
        <w:rPr>
          <w:rFonts w:cs="Times New Roman" w:ascii="Times New Roman" w:hAnsi="Times New Roman"/>
          <w:sz w:val="28"/>
          <w:szCs w:val="28"/>
          <w:lang w:val="en-US"/>
        </w:rPr>
        <w:t xml:space="preserve">. </w:t>
      </w:r>
      <w:r>
        <w:rPr>
          <w:rFonts w:cs="Times New Roman" w:ascii="Times New Roman" w:hAnsi="Times New Roman"/>
          <w:sz w:val="28"/>
          <w:szCs w:val="28"/>
        </w:rPr>
        <w:t>Вестник</w:t>
      </w:r>
      <w:r>
        <w:rPr>
          <w:rFonts w:cs="Times New Roman" w:ascii="Times New Roman" w:hAnsi="Times New Roman"/>
          <w:sz w:val="28"/>
          <w:szCs w:val="28"/>
          <w:lang w:val="en-US"/>
        </w:rPr>
        <w:t xml:space="preserve"> </w:t>
      </w:r>
      <w:r>
        <w:rPr>
          <w:rFonts w:cs="Times New Roman" w:ascii="Times New Roman" w:hAnsi="Times New Roman"/>
          <w:sz w:val="28"/>
          <w:szCs w:val="28"/>
        </w:rPr>
        <w:t>сельскохозяйственной</w:t>
      </w:r>
      <w:r>
        <w:rPr>
          <w:rFonts w:cs="Times New Roman" w:ascii="Times New Roman" w:hAnsi="Times New Roman"/>
          <w:sz w:val="28"/>
          <w:szCs w:val="28"/>
          <w:lang w:val="en-US"/>
        </w:rPr>
        <w:t xml:space="preserve"> </w:t>
      </w:r>
      <w:r>
        <w:rPr>
          <w:rFonts w:cs="Times New Roman" w:ascii="Times New Roman" w:hAnsi="Times New Roman"/>
          <w:sz w:val="28"/>
          <w:szCs w:val="28"/>
        </w:rPr>
        <w:t>науки</w:t>
      </w:r>
      <w:r>
        <w:rPr>
          <w:rFonts w:cs="Times New Roman" w:ascii="Times New Roman" w:hAnsi="Times New Roman"/>
          <w:sz w:val="28"/>
          <w:szCs w:val="28"/>
          <w:lang w:val="en-US"/>
        </w:rPr>
        <w:t>. 1980;</w:t>
      </w:r>
      <w:r>
        <w:rPr>
          <w:rFonts w:cs="Times New Roman" w:ascii="Times New Roman" w:hAnsi="Times New Roman"/>
          <w:sz w:val="28"/>
          <w:szCs w:val="28"/>
        </w:rPr>
        <w:t xml:space="preserve"> </w:t>
      </w:r>
      <w:r>
        <w:rPr>
          <w:rFonts w:cs="Times New Roman" w:ascii="Times New Roman" w:hAnsi="Times New Roman"/>
          <w:sz w:val="28"/>
          <w:szCs w:val="28"/>
          <w:lang w:val="en-US"/>
        </w:rPr>
        <w:t>7:71-73).</w:t>
      </w:r>
    </w:p>
    <w:p>
      <w:pPr>
        <w:pStyle w:val="ListParagraph"/>
        <w:numPr>
          <w:ilvl w:val="0"/>
          <w:numId w:val="1"/>
        </w:numPr>
        <w:spacing w:lineRule="auto" w:line="360" w:before="0" w:after="0"/>
        <w:ind w:left="0" w:hanging="0"/>
        <w:contextualSpacing/>
        <w:jc w:val="both"/>
        <w:rPr>
          <w:rFonts w:ascii="Times New Roman" w:hAnsi="Times New Roman" w:cs="Times New Roman"/>
          <w:sz w:val="28"/>
          <w:szCs w:val="28"/>
          <w:lang w:val="en-US"/>
        </w:rPr>
      </w:pPr>
      <w:r>
        <w:rPr>
          <w:rFonts w:cs="Times New Roman" w:ascii="Times New Roman" w:hAnsi="Times New Roman"/>
          <w:sz w:val="28"/>
          <w:szCs w:val="28"/>
          <w:lang w:val="en-US"/>
        </w:rPr>
        <w:t>Harland J. Authorised EU health claims for barley and oat beta-glucans. In: M.J. Sadler (ed.). Foods, Nutrients and Food Ingredients with Authorised EU Health Claims. 1st ed. Cambridge: Woodhead Publishing; 2014. p.25-45. DOI: 10.1533/9780857098481.2.25</w:t>
      </w:r>
      <w:r>
        <w:rPr>
          <w:rFonts w:cs="Times New Roman" w:ascii="Times New Roman" w:hAnsi="Times New Roman"/>
          <w:sz w:val="28"/>
          <w:szCs w:val="28"/>
        </w:rPr>
        <w:t>.</w:t>
      </w:r>
    </w:p>
    <w:p>
      <w:pPr>
        <w:pStyle w:val="ListParagraph"/>
        <w:numPr>
          <w:ilvl w:val="0"/>
          <w:numId w:val="1"/>
        </w:numPr>
        <w:spacing w:lineRule="auto" w:line="360" w:before="0" w:after="0"/>
        <w:ind w:left="0" w:hanging="0"/>
        <w:contextualSpacing/>
        <w:jc w:val="both"/>
        <w:rPr>
          <w:rFonts w:ascii="Times New Roman" w:hAnsi="Times New Roman" w:cs="Times New Roman"/>
          <w:sz w:val="28"/>
          <w:szCs w:val="28"/>
          <w:lang w:val="en-US"/>
        </w:rPr>
      </w:pPr>
      <w:r>
        <w:rPr>
          <w:rFonts w:cs="Times New Roman" w:ascii="Times New Roman" w:hAnsi="Times New Roman"/>
          <w:sz w:val="28"/>
          <w:szCs w:val="28"/>
          <w:lang w:val="en-US"/>
        </w:rPr>
        <w:t xml:space="preserve">Loskutov I.G., Kovaleva O.N., Blinova E.V. Guidelines for the study and preservation of the world collection of barley and oats (Metodicheskiye ukazaniya po izucheniyu i sokhraneniyu mirovoy kollektsii yachmenya i ovsa). </w:t>
      </w:r>
      <w:r>
        <w:rPr>
          <w:rFonts w:cs="Times New Roman" w:ascii="Times New Roman" w:hAnsi="Times New Roman"/>
          <w:sz w:val="28"/>
          <w:szCs w:val="28"/>
        </w:rPr>
        <w:t>St. Petersburg: VIR; 2012. [in Russian] (Лоскутов И.Г., Ковалева О.Н., Блинова Е.В. Методические указания по изучению и сохранению мировой коллекции ячменя и овса. Санкт</w:t>
      </w:r>
      <w:r>
        <w:rPr>
          <w:rFonts w:cs="Times New Roman" w:ascii="Times New Roman" w:hAnsi="Times New Roman"/>
          <w:sz w:val="28"/>
          <w:szCs w:val="28"/>
          <w:lang w:val="en-US"/>
        </w:rPr>
        <w:t>-</w:t>
      </w:r>
      <w:r>
        <w:rPr>
          <w:rFonts w:cs="Times New Roman" w:ascii="Times New Roman" w:hAnsi="Times New Roman"/>
          <w:sz w:val="28"/>
          <w:szCs w:val="28"/>
        </w:rPr>
        <w:t>Петербург</w:t>
      </w:r>
      <w:r>
        <w:rPr>
          <w:rFonts w:cs="Times New Roman" w:ascii="Times New Roman" w:hAnsi="Times New Roman"/>
          <w:sz w:val="28"/>
          <w:szCs w:val="28"/>
          <w:lang w:val="en-US"/>
        </w:rPr>
        <w:t xml:space="preserve">: </w:t>
      </w:r>
      <w:r>
        <w:rPr>
          <w:rFonts w:cs="Times New Roman" w:ascii="Times New Roman" w:hAnsi="Times New Roman"/>
          <w:sz w:val="28"/>
          <w:szCs w:val="28"/>
        </w:rPr>
        <w:t>ВИР</w:t>
      </w:r>
      <w:r>
        <w:rPr>
          <w:rFonts w:cs="Times New Roman" w:ascii="Times New Roman" w:hAnsi="Times New Roman"/>
          <w:sz w:val="28"/>
          <w:szCs w:val="28"/>
          <w:lang w:val="en-US"/>
        </w:rPr>
        <w:t>; 2012).</w:t>
      </w:r>
    </w:p>
    <w:p>
      <w:pPr>
        <w:pStyle w:val="ListParagraph"/>
        <w:numPr>
          <w:ilvl w:val="0"/>
          <w:numId w:val="1"/>
        </w:numPr>
        <w:spacing w:lineRule="auto" w:line="360" w:before="0" w:after="0"/>
        <w:ind w:left="0" w:hanging="0"/>
        <w:contextualSpacing/>
        <w:jc w:val="both"/>
        <w:rPr>
          <w:rStyle w:val="Style11"/>
          <w:rFonts w:ascii="Times New Roman" w:hAnsi="Times New Roman" w:cs="Times New Roman"/>
          <w:color w:val="auto"/>
          <w:sz w:val="28"/>
          <w:szCs w:val="28"/>
          <w:shd w:fill="FEFEFE" w:val="clear"/>
        </w:rPr>
      </w:pPr>
      <w:r>
        <w:rPr>
          <w:rFonts w:cs="Times New Roman" w:ascii="Times New Roman" w:hAnsi="Times New Roman"/>
          <w:sz w:val="28"/>
          <w:szCs w:val="28"/>
          <w:shd w:fill="FEFEFE" w:val="clear"/>
          <w:lang w:val="en-US"/>
        </w:rPr>
        <w:t xml:space="preserve">Marttinen M., Ala-Jaakkola R., Laitila A., Lehtinen M.J. Gut microbiota, probiotics and physical performance in athletes and physically active individuals // Nutrients. </w:t>
      </w:r>
      <w:r>
        <w:rPr>
          <w:rFonts w:cs="Times New Roman" w:ascii="Times New Roman" w:hAnsi="Times New Roman"/>
          <w:sz w:val="28"/>
          <w:szCs w:val="28"/>
          <w:shd w:fill="FEFEFE" w:val="clear"/>
        </w:rPr>
        <w:t>2020. Vol. 12. P. 1-39. DOI: </w:t>
      </w:r>
      <w:hyperlink r:id="rId14">
        <w:r>
          <w:rPr>
            <w:rFonts w:cs="Times New Roman" w:ascii="Times New Roman" w:hAnsi="Times New Roman"/>
            <w:color w:val="000000"/>
            <w:sz w:val="28"/>
            <w:szCs w:val="28"/>
            <w:shd w:fill="FEFEFE" w:val="clear"/>
          </w:rPr>
          <w:t>https://doi.org/10.3390/nu12102936</w:t>
        </w:r>
      </w:hyperlink>
      <w:r>
        <w:rPr>
          <w:rStyle w:val="Style11"/>
          <w:rFonts w:cs="Times New Roman" w:ascii="Times New Roman" w:hAnsi="Times New Roman"/>
          <w:color w:val="000000"/>
          <w:sz w:val="28"/>
          <w:szCs w:val="28"/>
          <w:shd w:fill="FEFEFE" w:val="clear"/>
        </w:rPr>
        <w:t>.</w:t>
      </w:r>
    </w:p>
    <w:p>
      <w:pPr>
        <w:pStyle w:val="ListParagraph"/>
        <w:numPr>
          <w:ilvl w:val="0"/>
          <w:numId w:val="1"/>
        </w:numPr>
        <w:spacing w:lineRule="auto" w:line="360" w:before="0" w:after="0"/>
        <w:ind w:left="0" w:hanging="0"/>
        <w:contextualSpacing/>
        <w:jc w:val="both"/>
        <w:rPr>
          <w:rFonts w:ascii="Times New Roman" w:hAnsi="Times New Roman" w:cs="Times New Roman"/>
          <w:sz w:val="28"/>
          <w:szCs w:val="28"/>
          <w:u w:val="single"/>
          <w:shd w:fill="FEFEFE" w:val="clear"/>
        </w:rPr>
      </w:pPr>
      <w:r>
        <w:rPr>
          <w:rFonts w:cs="Times New Roman" w:ascii="Times New Roman" w:hAnsi="Times New Roman"/>
          <w:sz w:val="28"/>
          <w:szCs w:val="28"/>
          <w:shd w:fill="FEFEFE" w:val="clear"/>
          <w:lang w:val="en-US"/>
        </w:rPr>
        <w:t>Moszak M., Szulińska M., Bogdański P. You are what you eat - the relationship between diet, microbiota, and metabolic disorders - a review // Nutrients 2020. Vol. 12. Article ID 1096. DOI: </w:t>
      </w:r>
      <w:hyperlink r:id="rId15">
        <w:r>
          <w:rPr>
            <w:rFonts w:cs="Times New Roman" w:ascii="Times New Roman" w:hAnsi="Times New Roman"/>
            <w:color w:val="000000"/>
            <w:sz w:val="28"/>
            <w:szCs w:val="28"/>
            <w:shd w:fill="FEFEFE" w:val="clear"/>
            <w:lang w:val="en-US"/>
          </w:rPr>
          <w:t>https://doi.org/10.3390/nu12041096</w:t>
        </w:r>
      </w:hyperlink>
      <w:r>
        <w:rPr>
          <w:rFonts w:cs="Times New Roman" w:ascii="Times New Roman" w:hAnsi="Times New Roman"/>
          <w:sz w:val="28"/>
          <w:szCs w:val="28"/>
        </w:rPr>
        <w:t>.</w:t>
      </w:r>
    </w:p>
    <w:p>
      <w:pPr>
        <w:pStyle w:val="ListParagraph"/>
        <w:numPr>
          <w:ilvl w:val="0"/>
          <w:numId w:val="1"/>
        </w:numPr>
        <w:spacing w:lineRule="auto" w:line="360" w:before="0" w:after="0"/>
        <w:ind w:left="0" w:hanging="0"/>
        <w:contextualSpacing/>
        <w:jc w:val="both"/>
        <w:rPr>
          <w:rFonts w:ascii="Times New Roman" w:hAnsi="Times New Roman" w:cs="Times New Roman"/>
          <w:sz w:val="28"/>
          <w:szCs w:val="28"/>
          <w:lang w:val="en-US"/>
        </w:rPr>
      </w:pPr>
      <w:r>
        <w:rPr>
          <w:rFonts w:cs="Times New Roman" w:ascii="Times New Roman" w:hAnsi="Times New Roman"/>
          <w:sz w:val="28"/>
          <w:szCs w:val="28"/>
          <w:lang w:val="en-US"/>
        </w:rPr>
        <w:t>Sagnelli D., Chessa S., Mandalari G., Di Martino M., Sorndech W., Mamone G. et al. Low glycaemic index foods from wild barley and amylose-only barley lines. Journal of Functional Foods. 2018;40:</w:t>
      </w:r>
      <w:r>
        <w:rPr>
          <w:rFonts w:cs="Times New Roman" w:ascii="Times New Roman" w:hAnsi="Times New Roman"/>
          <w:sz w:val="28"/>
          <w:szCs w:val="28"/>
        </w:rPr>
        <w:t xml:space="preserve"> </w:t>
      </w:r>
      <w:r>
        <w:rPr>
          <w:rFonts w:cs="Times New Roman" w:ascii="Times New Roman" w:hAnsi="Times New Roman"/>
          <w:sz w:val="28"/>
          <w:szCs w:val="28"/>
          <w:lang w:val="en-US"/>
        </w:rPr>
        <w:t>408-416. DOI: 10.1016/ j.jff.2017.11.028</w:t>
      </w:r>
      <w:r>
        <w:rPr>
          <w:rFonts w:cs="Times New Roman" w:ascii="Times New Roman" w:hAnsi="Times New Roman"/>
          <w:sz w:val="28"/>
          <w:szCs w:val="28"/>
        </w:rPr>
        <w:t>.</w:t>
      </w:r>
    </w:p>
    <w:p>
      <w:pPr>
        <w:pStyle w:val="ListParagraph"/>
        <w:numPr>
          <w:ilvl w:val="0"/>
          <w:numId w:val="1"/>
        </w:numPr>
        <w:spacing w:lineRule="auto" w:line="360" w:before="0" w:after="0"/>
        <w:ind w:left="0" w:hanging="0"/>
        <w:contextualSpacing/>
        <w:jc w:val="both"/>
        <w:rPr>
          <w:rStyle w:val="Style11"/>
          <w:rFonts w:ascii="Times New Roman" w:hAnsi="Times New Roman" w:cs="Times New Roman"/>
          <w:color w:val="auto"/>
          <w:sz w:val="28"/>
          <w:szCs w:val="28"/>
          <w:u w:val="none"/>
          <w:lang w:val="en-US"/>
        </w:rPr>
      </w:pPr>
      <w:r>
        <w:rPr>
          <w:rFonts w:cs="Times New Roman" w:ascii="Times New Roman" w:hAnsi="Times New Roman"/>
          <w:color w:val="0A0A0A"/>
          <w:sz w:val="28"/>
          <w:szCs w:val="28"/>
          <w:shd w:fill="FEFEFE" w:val="clear"/>
          <w:lang w:val="en-US"/>
        </w:rPr>
        <w:t>Wilson A.S., Koller K.R., Ramaboli M.C., Nesengani L.T., Ocvirk S., Chen C. et al. Diet and the human gut microbiome: an international review // Dig. Dis. Sci. 2020. Vol. 65. P. 723-740. DOI: </w:t>
      </w:r>
      <w:hyperlink r:id="rId16">
        <w:r>
          <w:rPr>
            <w:rFonts w:cs="Times New Roman" w:ascii="Times New Roman" w:hAnsi="Times New Roman"/>
            <w:color w:val="3B65AD"/>
            <w:sz w:val="28"/>
            <w:szCs w:val="28"/>
            <w:shd w:fill="FEFEFE" w:val="clear"/>
            <w:lang w:val="en-US"/>
          </w:rPr>
          <w:t>https://doi.org/10.1007/s10620-020-06112-w</w:t>
        </w:r>
      </w:hyperlink>
      <w:r>
        <w:rPr>
          <w:rStyle w:val="Style11"/>
          <w:rFonts w:cs="Times New Roman" w:ascii="Times New Roman" w:hAnsi="Times New Roman"/>
          <w:color w:val="3B65AD"/>
          <w:sz w:val="28"/>
          <w:szCs w:val="28"/>
          <w:shd w:fill="FEFEFE" w:val="clear"/>
        </w:rPr>
        <w:t>.</w:t>
      </w:r>
    </w:p>
    <w:p>
      <w:pPr>
        <w:pStyle w:val="ListParagraph"/>
        <w:numPr>
          <w:ilvl w:val="0"/>
          <w:numId w:val="1"/>
        </w:numPr>
        <w:spacing w:lineRule="auto" w:line="360" w:before="0" w:after="0"/>
        <w:ind w:left="0" w:hanging="0"/>
        <w:contextualSpacing/>
        <w:jc w:val="both"/>
        <w:rPr>
          <w:rFonts w:ascii="Times New Roman" w:hAnsi="Times New Roman" w:cs="Times New Roman"/>
          <w:sz w:val="28"/>
          <w:szCs w:val="28"/>
          <w:lang w:val="en-US"/>
        </w:rPr>
      </w:pPr>
      <w:r>
        <w:rPr>
          <w:rFonts w:cs="Times New Roman" w:ascii="Times New Roman" w:hAnsi="Times New Roman"/>
          <w:sz w:val="28"/>
          <w:szCs w:val="28"/>
          <w:shd w:fill="FEFEFE" w:val="clear"/>
          <w:lang w:val="en-US"/>
        </w:rPr>
        <w:t>Yang Q., Liang Q., Balakrishnan B., Belobrajdic D.P., Feng Q.-J., Zhang W. Role of dietary nutrients in the modulation of gut microbiota: a narrative review // Nutrients. 2020. Vol. 12. Article ID 12020381. DOI: </w:t>
      </w:r>
      <w:hyperlink r:id="rId17">
        <w:r>
          <w:rPr>
            <w:rFonts w:cs="Times New Roman" w:ascii="Times New Roman" w:hAnsi="Times New Roman"/>
            <w:color w:val="000000"/>
            <w:sz w:val="28"/>
            <w:szCs w:val="28"/>
            <w:shd w:fill="FEFEFE" w:val="clear"/>
            <w:lang w:val="en-US"/>
          </w:rPr>
          <w:t>https://doi.org/10.3390/nu12020381</w:t>
        </w:r>
      </w:hyperlink>
      <w:r>
        <w:rPr>
          <w:rStyle w:val="Style11"/>
          <w:rFonts w:cs="Times New Roman" w:ascii="Times New Roman" w:hAnsi="Times New Roman"/>
          <w:color w:val="000000"/>
          <w:sz w:val="28"/>
          <w:szCs w:val="28"/>
          <w:shd w:fill="FEFEFE" w:val="clear"/>
        </w:rPr>
        <w:t>.</w:t>
      </w:r>
    </w:p>
    <w:p>
      <w:pPr>
        <w:pStyle w:val="ListParagraph"/>
        <w:numPr>
          <w:ilvl w:val="0"/>
          <w:numId w:val="1"/>
        </w:numPr>
        <w:spacing w:lineRule="auto" w:line="360" w:before="0" w:after="0"/>
        <w:ind w:left="0" w:hanging="0"/>
        <w:contextualSpacing/>
        <w:jc w:val="both"/>
        <w:rPr>
          <w:rFonts w:ascii="Times New Roman" w:hAnsi="Times New Roman" w:cs="Times New Roman"/>
          <w:sz w:val="28"/>
          <w:szCs w:val="28"/>
        </w:rPr>
      </w:pPr>
      <w:r>
        <w:rPr>
          <w:rFonts w:cs="Times New Roman" w:ascii="Times New Roman" w:hAnsi="Times New Roman"/>
          <w:sz w:val="28"/>
          <w:szCs w:val="28"/>
        </w:rPr>
        <w:t xml:space="preserve">Батурин А.К., Мартинчик А.Н., Камбаров А.О. Структура питания населения России на рубеже </w:t>
      </w:r>
      <w:r>
        <w:rPr>
          <w:rFonts w:cs="Times New Roman" w:ascii="Times New Roman" w:hAnsi="Times New Roman"/>
          <w:sz w:val="28"/>
          <w:szCs w:val="28"/>
          <w:lang w:val="en-US"/>
        </w:rPr>
        <w:t>XX</w:t>
      </w:r>
      <w:r>
        <w:rPr>
          <w:rFonts w:cs="Times New Roman" w:ascii="Times New Roman" w:hAnsi="Times New Roman"/>
          <w:sz w:val="28"/>
          <w:szCs w:val="28"/>
        </w:rPr>
        <w:t xml:space="preserve"> и </w:t>
      </w:r>
      <w:r>
        <w:rPr>
          <w:rFonts w:cs="Times New Roman" w:ascii="Times New Roman" w:hAnsi="Times New Roman"/>
          <w:sz w:val="28"/>
          <w:szCs w:val="28"/>
          <w:lang w:val="en-US"/>
        </w:rPr>
        <w:t>XXI</w:t>
      </w:r>
      <w:r>
        <w:rPr>
          <w:rFonts w:cs="Times New Roman" w:ascii="Times New Roman" w:hAnsi="Times New Roman"/>
          <w:sz w:val="28"/>
          <w:szCs w:val="28"/>
        </w:rPr>
        <w:t xml:space="preserve"> столетий // Вопросы питания. 2020. Т. 89, № 4. С. 60-70. </w:t>
      </w:r>
      <w:r>
        <w:rPr>
          <w:rFonts w:cs="Times New Roman" w:ascii="Times New Roman" w:hAnsi="Times New Roman"/>
          <w:sz w:val="28"/>
          <w:szCs w:val="28"/>
          <w:lang w:val="en-US"/>
        </w:rPr>
        <w:t>DOI</w:t>
      </w:r>
      <w:r>
        <w:rPr>
          <w:rFonts w:cs="Times New Roman" w:ascii="Times New Roman" w:hAnsi="Times New Roman"/>
          <w:sz w:val="28"/>
          <w:szCs w:val="28"/>
        </w:rPr>
        <w:t xml:space="preserve">: </w:t>
      </w:r>
      <w:r>
        <w:rPr>
          <w:rFonts w:cs="Times New Roman" w:ascii="Times New Roman" w:hAnsi="Times New Roman"/>
          <w:sz w:val="28"/>
          <w:szCs w:val="28"/>
          <w:lang w:val="en-US"/>
        </w:rPr>
        <w:t>https</w:t>
      </w:r>
      <w:r>
        <w:rPr>
          <w:rFonts w:cs="Times New Roman" w:ascii="Times New Roman" w:hAnsi="Times New Roman"/>
          <w:sz w:val="28"/>
          <w:szCs w:val="28"/>
        </w:rPr>
        <w:t>://</w:t>
      </w:r>
      <w:r>
        <w:rPr>
          <w:rFonts w:cs="Times New Roman" w:ascii="Times New Roman" w:hAnsi="Times New Roman"/>
          <w:sz w:val="28"/>
          <w:szCs w:val="28"/>
          <w:lang w:val="en-US"/>
        </w:rPr>
        <w:t>doi.org/10.24411/0042-8833-2020-10042.</w:t>
      </w:r>
    </w:p>
    <w:p>
      <w:pPr>
        <w:pStyle w:val="ListParagraph"/>
        <w:numPr>
          <w:ilvl w:val="0"/>
          <w:numId w:val="1"/>
        </w:numPr>
        <w:spacing w:lineRule="auto" w:line="360" w:before="0" w:after="0"/>
        <w:ind w:left="0" w:hanging="0"/>
        <w:contextualSpacing/>
        <w:jc w:val="both"/>
        <w:rPr>
          <w:rFonts w:ascii="Times New Roman" w:hAnsi="Times New Roman" w:eastAsia="Calibri" w:cs="Times New Roman"/>
          <w:b/>
          <w:b/>
          <w:bCs/>
          <w:sz w:val="28"/>
          <w:szCs w:val="28"/>
        </w:rPr>
      </w:pPr>
      <w:bookmarkStart w:id="9" w:name="_Ref90839907"/>
      <w:r>
        <w:rPr>
          <w:rFonts w:eastAsia="Calibri" w:cs="Times New Roman" w:ascii="Times New Roman" w:hAnsi="Times New Roman"/>
          <w:bCs/>
          <w:sz w:val="28"/>
          <w:szCs w:val="28"/>
        </w:rPr>
        <w:t>Белая А. Потребители пошли за молоком. Спрос на молочную продукцию вырастет, несмотря на падение продаж в секторе HoReCa // Агроинвестор, – 2020. – 1 декабря [Электронный ресурс]. URL:https://www.agroinvestor.ru/analytics/article/34913-potrebiteli-poshli-za-molokom-spros-na-molochnuyu-produktsiyu-vyrastet-nesmotrya-na-padenie-prodazh/</w:t>
      </w:r>
      <w:bookmarkEnd w:id="9"/>
      <w:r>
        <w:rPr>
          <w:rFonts w:eastAsia="Calibri" w:cs="Times New Roman" w:ascii="Times New Roman" w:hAnsi="Times New Roman"/>
          <w:bCs/>
          <w:sz w:val="28"/>
          <w:szCs w:val="28"/>
        </w:rPr>
        <w:t>.</w:t>
      </w:r>
    </w:p>
    <w:p>
      <w:pPr>
        <w:pStyle w:val="ListParagraph"/>
        <w:numPr>
          <w:ilvl w:val="0"/>
          <w:numId w:val="1"/>
        </w:numPr>
        <w:spacing w:lineRule="auto" w:line="360" w:before="0" w:after="0"/>
        <w:ind w:left="0" w:hanging="0"/>
        <w:contextualSpacing/>
        <w:jc w:val="both"/>
        <w:rPr>
          <w:rFonts w:ascii="Times New Roman" w:hAnsi="Times New Roman" w:eastAsia="Calibri" w:cs="Times New Roman"/>
          <w:bCs/>
          <w:sz w:val="28"/>
          <w:szCs w:val="28"/>
        </w:rPr>
      </w:pPr>
      <w:bookmarkStart w:id="10" w:name="_Ref90865075"/>
      <w:r>
        <w:rPr>
          <w:rFonts w:eastAsia="Calibri" w:cs="Times New Roman" w:ascii="Times New Roman" w:hAnsi="Times New Roman"/>
          <w:bCs/>
          <w:sz w:val="28"/>
          <w:szCs w:val="28"/>
        </w:rPr>
        <w:t>Бородулин Д. М. Ячмень как перспективный компонент молочно-злаковых продуктов // Техника и технология пищевых производств. 2014. №4 (35). URL: https://cyberleninka.ru/article/n/yachmen-kak-perspektivnyy-komponent-molochno-zlakovyh-produktov (дата обращения: 18.10.2021).</w:t>
      </w:r>
      <w:bookmarkEnd w:id="10"/>
    </w:p>
    <w:p>
      <w:pPr>
        <w:pStyle w:val="ListParagraph"/>
        <w:numPr>
          <w:ilvl w:val="0"/>
          <w:numId w:val="1"/>
        </w:numPr>
        <w:spacing w:lineRule="auto" w:line="360" w:before="0" w:after="0"/>
        <w:ind w:left="0" w:hanging="0"/>
        <w:contextualSpacing/>
        <w:jc w:val="both"/>
        <w:rPr>
          <w:rFonts w:ascii="Times New Roman" w:hAnsi="Times New Roman" w:eastAsia="Calibri" w:cs="Times New Roman"/>
          <w:bCs/>
          <w:sz w:val="28"/>
          <w:szCs w:val="28"/>
        </w:rPr>
      </w:pPr>
      <w:bookmarkStart w:id="11" w:name="_Ref91077671"/>
      <w:r>
        <w:rPr>
          <w:rFonts w:eastAsia="Calibri" w:cs="Times New Roman" w:ascii="Times New Roman" w:hAnsi="Times New Roman"/>
          <w:bCs/>
          <w:sz w:val="28"/>
          <w:szCs w:val="28"/>
        </w:rPr>
        <w:t xml:space="preserve">Кантере В. М. </w:t>
      </w:r>
      <w:r>
        <w:rPr>
          <w:rFonts w:eastAsia="Calibri" w:cs="Times New Roman" w:ascii="Times New Roman" w:hAnsi="Times New Roman"/>
          <w:bCs/>
          <w:sz w:val="28"/>
          <w:szCs w:val="28"/>
          <w:lang w:val="en-US"/>
        </w:rPr>
        <w:t>C</w:t>
      </w:r>
      <w:r>
        <w:rPr>
          <w:rFonts w:eastAsia="Calibri" w:cs="Times New Roman" w:ascii="Times New Roman" w:hAnsi="Times New Roman"/>
          <w:bCs/>
          <w:sz w:val="28"/>
          <w:szCs w:val="28"/>
        </w:rPr>
        <w:t>пособ производства фруктозного сиропа из топинамбура</w:t>
      </w:r>
      <w:bookmarkEnd w:id="11"/>
      <w:r>
        <w:rPr>
          <w:rFonts w:eastAsia="Calibri" w:cs="Times New Roman" w:ascii="Times New Roman" w:hAnsi="Times New Roman"/>
          <w:bCs/>
          <w:sz w:val="28"/>
          <w:szCs w:val="28"/>
        </w:rPr>
        <w:t xml:space="preserve">, патент </w:t>
      </w:r>
      <w:r>
        <w:rPr>
          <w:rFonts w:eastAsia="Calibri" w:cs="Times New Roman" w:ascii="Times New Roman" w:hAnsi="Times New Roman"/>
          <w:bCs/>
          <w:sz w:val="28"/>
          <w:szCs w:val="28"/>
          <w:lang w:val="en-US"/>
        </w:rPr>
        <w:t>RU</w:t>
      </w:r>
      <w:r>
        <w:rPr>
          <w:rFonts w:eastAsia="Calibri" w:cs="Times New Roman" w:ascii="Times New Roman" w:hAnsi="Times New Roman"/>
          <w:bCs/>
          <w:sz w:val="28"/>
          <w:szCs w:val="28"/>
        </w:rPr>
        <w:t xml:space="preserve"> 2167198.</w:t>
      </w:r>
    </w:p>
    <w:p>
      <w:pPr>
        <w:pStyle w:val="ListParagraph"/>
        <w:numPr>
          <w:ilvl w:val="0"/>
          <w:numId w:val="1"/>
        </w:numPr>
        <w:spacing w:lineRule="auto" w:line="360" w:before="0" w:after="0"/>
        <w:ind w:left="0" w:hanging="0"/>
        <w:contextualSpacing/>
        <w:jc w:val="both"/>
        <w:rPr>
          <w:rFonts w:ascii="Times New Roman" w:hAnsi="Times New Roman" w:eastAsia="Calibri" w:cs="Times New Roman"/>
          <w:bCs/>
          <w:sz w:val="28"/>
          <w:szCs w:val="28"/>
        </w:rPr>
      </w:pPr>
      <w:bookmarkStart w:id="12" w:name="_Ref90840868"/>
      <w:r>
        <w:rPr>
          <w:rFonts w:eastAsia="Calibri" w:cs="Times New Roman" w:ascii="Times New Roman" w:hAnsi="Times New Roman"/>
          <w:bCs/>
          <w:sz w:val="28"/>
          <w:szCs w:val="28"/>
        </w:rPr>
        <w:t>Крусь, Г. Н. Технология молока и молочных продуктов / Г. Н. Крусь, А. Г. Храмцов, 3. В. Волокитина, С. В. Карпычев; Под ред. А. М. Шалыгиной. - Москва: КолосС, 2013. - 455 с.</w:t>
      </w:r>
      <w:bookmarkEnd w:id="12"/>
    </w:p>
    <w:p>
      <w:pPr>
        <w:pStyle w:val="ListParagraph"/>
        <w:numPr>
          <w:ilvl w:val="0"/>
          <w:numId w:val="1"/>
        </w:numPr>
        <w:spacing w:lineRule="auto" w:line="360" w:before="0" w:after="0"/>
        <w:ind w:left="0" w:hanging="0"/>
        <w:contextualSpacing/>
        <w:jc w:val="both"/>
        <w:rPr>
          <w:rFonts w:ascii="Times New Roman" w:hAnsi="Times New Roman" w:eastAsia="Calibri" w:cs="Times New Roman"/>
          <w:b/>
          <w:b/>
          <w:bCs/>
          <w:sz w:val="28"/>
          <w:szCs w:val="28"/>
        </w:rPr>
      </w:pPr>
      <w:r>
        <w:rPr>
          <w:rFonts w:eastAsia="Calibri" w:cs="Times New Roman" w:ascii="Times New Roman" w:hAnsi="Times New Roman"/>
          <w:sz w:val="28"/>
          <w:szCs w:val="28"/>
        </w:rPr>
        <w:t>Методические рекомендации МР 2.3.1.0253-21 «Нормы физиологических потребностей в энергии и пищевых веществах для различных групп населения Российской Федерации». – М.</w:t>
      </w:r>
      <w:r>
        <w:rPr>
          <w:rFonts w:cs="Times New Roman" w:ascii="Times New Roman" w:hAnsi="Times New Roman"/>
          <w:sz w:val="28"/>
          <w:szCs w:val="28"/>
        </w:rPr>
        <w:t xml:space="preserve"> </w:t>
      </w:r>
      <w:r>
        <w:rPr>
          <w:rFonts w:eastAsia="Calibri" w:cs="Times New Roman" w:ascii="Times New Roman" w:hAnsi="Times New Roman"/>
          <w:sz w:val="28"/>
          <w:szCs w:val="28"/>
        </w:rPr>
        <w:t>Роспотребнадзор, 2021.</w:t>
      </w:r>
    </w:p>
    <w:p>
      <w:pPr>
        <w:pStyle w:val="ListParagraph"/>
        <w:numPr>
          <w:ilvl w:val="0"/>
          <w:numId w:val="1"/>
        </w:numPr>
        <w:spacing w:lineRule="auto" w:line="360" w:before="0" w:after="0"/>
        <w:ind w:left="0" w:hanging="0"/>
        <w:contextualSpacing/>
        <w:jc w:val="both"/>
        <w:rPr>
          <w:rFonts w:ascii="Times New Roman" w:hAnsi="Times New Roman" w:eastAsia="Calibri" w:cs="Times New Roman"/>
          <w:bCs/>
          <w:sz w:val="28"/>
          <w:szCs w:val="28"/>
        </w:rPr>
      </w:pPr>
      <w:bookmarkStart w:id="13" w:name="_Ref103438050"/>
      <w:r>
        <w:rPr>
          <w:rFonts w:eastAsia="Calibri" w:cs="Times New Roman" w:ascii="Times New Roman" w:hAnsi="Times New Roman"/>
          <w:bCs/>
          <w:sz w:val="28"/>
          <w:szCs w:val="28"/>
        </w:rPr>
        <w:t>МУК 4.2.1847-04. Санитарно-эпидемиологическая оценка обоснования сроков годности и условий хранения пищевых продуктов. Методические указания – М.: Федеральный центр госсанэпиднадзора Минздрава России, 2004, 31 с.</w:t>
      </w:r>
      <w:bookmarkEnd w:id="13"/>
    </w:p>
    <w:p>
      <w:pPr>
        <w:pStyle w:val="ListParagraph"/>
        <w:numPr>
          <w:ilvl w:val="0"/>
          <w:numId w:val="1"/>
        </w:numPr>
        <w:spacing w:lineRule="auto" w:line="360" w:before="0" w:after="0"/>
        <w:ind w:left="0" w:hanging="0"/>
        <w:contextualSpacing/>
        <w:jc w:val="both"/>
        <w:rPr>
          <w:rFonts w:ascii="Times New Roman" w:hAnsi="Times New Roman" w:eastAsia="Calibri" w:cs="Times New Roman"/>
          <w:bCs/>
          <w:sz w:val="28"/>
          <w:szCs w:val="28"/>
        </w:rPr>
      </w:pPr>
      <w:r>
        <w:rPr>
          <w:rFonts w:cs="Times New Roman" w:ascii="Times New Roman" w:hAnsi="Times New Roman"/>
          <w:color w:val="000000"/>
          <w:sz w:val="28"/>
          <w:szCs w:val="28"/>
          <w:shd w:fill="FFFFFF" w:val="clear"/>
        </w:rPr>
        <w:t>Новокшанова, А. Л. Биохимия для технологов в 2 ч. Часть 1.: учебник и практикум для вузов / А. Л. Новокшанова. — 2-е изд., испр. — Москва: Издательство Юрайт, 2020. — 211 с. — (Высшее образование). </w:t>
      </w:r>
    </w:p>
    <w:p>
      <w:pPr>
        <w:pStyle w:val="ListParagraph"/>
        <w:numPr>
          <w:ilvl w:val="0"/>
          <w:numId w:val="1"/>
        </w:numPr>
        <w:spacing w:lineRule="auto" w:line="360" w:before="0" w:after="0"/>
        <w:ind w:left="0" w:hanging="0"/>
        <w:contextualSpacing/>
        <w:jc w:val="both"/>
        <w:rPr>
          <w:rFonts w:ascii="Times New Roman" w:hAnsi="Times New Roman" w:cs="Times New Roman"/>
          <w:sz w:val="28"/>
          <w:szCs w:val="28"/>
        </w:rPr>
      </w:pPr>
      <w:r>
        <w:rPr>
          <w:rFonts w:cs="Times New Roman" w:ascii="Times New Roman" w:hAnsi="Times New Roman"/>
          <w:sz w:val="28"/>
          <w:szCs w:val="28"/>
        </w:rPr>
        <w:t>Попова, А. Ю. О новых (2021) Нормах физиологических потребностей в энергии и пищевых веществах для различных групп населения Российской Федерации / А.Ю. Попова, В. А. Тутельян, Д. Б. Никитюк // Вопросы питания. – 2021. – Т 90, № 4. – С. 6–19.</w:t>
      </w:r>
    </w:p>
    <w:p>
      <w:pPr>
        <w:pStyle w:val="ListParagraph"/>
        <w:numPr>
          <w:ilvl w:val="0"/>
          <w:numId w:val="1"/>
        </w:numPr>
        <w:spacing w:lineRule="auto" w:line="360" w:before="0" w:after="0"/>
        <w:ind w:left="0" w:hanging="0"/>
        <w:contextualSpacing/>
        <w:jc w:val="both"/>
        <w:rPr>
          <w:rFonts w:ascii="Times New Roman" w:hAnsi="Times New Roman" w:eastAsia="Calibri" w:cs="Times New Roman"/>
          <w:bCs/>
          <w:sz w:val="28"/>
          <w:szCs w:val="28"/>
          <w:lang w:val="en-US"/>
        </w:rPr>
      </w:pPr>
      <w:bookmarkStart w:id="14" w:name="_Ref90839857"/>
      <w:r>
        <w:rPr>
          <w:rFonts w:eastAsia="Calibri" w:cs="Times New Roman" w:ascii="Times New Roman" w:hAnsi="Times New Roman"/>
          <w:bCs/>
          <w:sz w:val="28"/>
          <w:szCs w:val="28"/>
        </w:rPr>
        <w:t>Российский статистический ежегодник. 2020 / Федеральная служба государственной статистики (Росстат). М</w:t>
      </w:r>
      <w:r>
        <w:rPr>
          <w:rFonts w:eastAsia="Calibri" w:cs="Times New Roman" w:ascii="Times New Roman" w:hAnsi="Times New Roman"/>
          <w:bCs/>
          <w:sz w:val="28"/>
          <w:szCs w:val="28"/>
          <w:lang w:val="en-US"/>
        </w:rPr>
        <w:t>., 2020. URL: http://www.gks.ru/wps/wcm/conne ct/rosstat</w:t>
      </w:r>
      <w:bookmarkEnd w:id="14"/>
      <w:r>
        <w:rPr>
          <w:rFonts w:eastAsia="Calibri" w:cs="Times New Roman" w:ascii="Times New Roman" w:hAnsi="Times New Roman"/>
          <w:bCs/>
          <w:sz w:val="28"/>
          <w:szCs w:val="28"/>
          <w:lang w:val="en-US"/>
        </w:rPr>
        <w:t>.</w:t>
      </w:r>
    </w:p>
    <w:p>
      <w:pPr>
        <w:pStyle w:val="ListParagraph"/>
        <w:numPr>
          <w:ilvl w:val="0"/>
          <w:numId w:val="1"/>
        </w:numPr>
        <w:spacing w:lineRule="auto" w:line="360" w:before="0" w:after="0"/>
        <w:ind w:left="0" w:hanging="0"/>
        <w:contextualSpacing/>
        <w:jc w:val="both"/>
        <w:rPr>
          <w:rFonts w:ascii="Times New Roman" w:hAnsi="Times New Roman" w:eastAsia="Calibri" w:cs="Times New Roman"/>
          <w:bCs/>
          <w:sz w:val="28"/>
          <w:szCs w:val="28"/>
        </w:rPr>
      </w:pPr>
      <w:bookmarkStart w:id="15" w:name="_Ref90840807"/>
      <w:r>
        <w:rPr>
          <w:rFonts w:eastAsia="Calibri" w:cs="Times New Roman" w:ascii="Times New Roman" w:hAnsi="Times New Roman"/>
          <w:bCs/>
          <w:sz w:val="28"/>
          <w:szCs w:val="28"/>
        </w:rPr>
        <w:t>Стратегия повышения качества пищевой продукции в Российской Федерации до 2030 года: распоряжение Правительства Российской Федерации от 29 июня 2016 г. № 1364-р // Собр. Законодательства РФ. 2016. № 28. Ст. 4758.</w:t>
      </w:r>
      <w:bookmarkEnd w:id="15"/>
    </w:p>
    <w:p>
      <w:pPr>
        <w:pStyle w:val="ListParagraph"/>
        <w:numPr>
          <w:ilvl w:val="0"/>
          <w:numId w:val="1"/>
        </w:numPr>
        <w:spacing w:lineRule="auto" w:line="360" w:before="0" w:after="0"/>
        <w:ind w:left="0" w:hanging="0"/>
        <w:contextualSpacing/>
        <w:jc w:val="both"/>
        <w:rPr>
          <w:rFonts w:ascii="Times New Roman" w:hAnsi="Times New Roman" w:eastAsia="Calibri" w:cs="Times New Roman"/>
          <w:bCs/>
          <w:sz w:val="28"/>
          <w:szCs w:val="28"/>
        </w:rPr>
      </w:pPr>
      <w:bookmarkStart w:id="16" w:name="_Ref90917790"/>
      <w:r>
        <w:rPr>
          <w:rFonts w:eastAsia="Calibri" w:cs="Times New Roman" w:ascii="Times New Roman" w:hAnsi="Times New Roman"/>
          <w:bCs/>
          <w:sz w:val="28"/>
          <w:szCs w:val="28"/>
        </w:rPr>
        <w:t>Технический регламент Таможенного союза 021/2011 «О безопасности пищевой продукции». Утвержден Решением Комиссии Таможенного союза от 9 декабря 2011 г. № 880.</w:t>
      </w:r>
      <w:bookmarkEnd w:id="16"/>
    </w:p>
    <w:p>
      <w:pPr>
        <w:pStyle w:val="ListParagraph"/>
        <w:numPr>
          <w:ilvl w:val="0"/>
          <w:numId w:val="1"/>
        </w:numPr>
        <w:spacing w:lineRule="auto" w:line="360" w:before="0" w:after="0"/>
        <w:ind w:left="0" w:hanging="0"/>
        <w:contextualSpacing/>
        <w:jc w:val="both"/>
        <w:rPr>
          <w:rFonts w:ascii="Times New Roman" w:hAnsi="Times New Roman" w:eastAsia="Calibri" w:cs="Times New Roman"/>
          <w:b/>
          <w:b/>
          <w:bCs/>
          <w:sz w:val="28"/>
          <w:szCs w:val="28"/>
        </w:rPr>
      </w:pPr>
      <w:bookmarkStart w:id="17" w:name="_Ref103435074"/>
      <w:r>
        <w:rPr>
          <w:rFonts w:eastAsia="Calibri" w:cs="Times New Roman" w:ascii="Times New Roman" w:hAnsi="Times New Roman"/>
          <w:bCs/>
          <w:sz w:val="28"/>
          <w:szCs w:val="28"/>
        </w:rPr>
        <w:t>Технический регламент Таможенного союза «О безопасности молока и молочной продукции» (ТР ТС 033/2013) от 9 октября 2013 года № 67.</w:t>
      </w:r>
      <w:bookmarkEnd w:id="17"/>
    </w:p>
    <w:p>
      <w:pPr>
        <w:pStyle w:val="ListParagraph"/>
        <w:numPr>
          <w:ilvl w:val="0"/>
          <w:numId w:val="1"/>
        </w:numPr>
        <w:spacing w:lineRule="auto" w:line="360" w:before="0" w:after="0"/>
        <w:ind w:left="0" w:hanging="0"/>
        <w:contextualSpacing/>
        <w:jc w:val="both"/>
        <w:rPr>
          <w:rFonts w:ascii="Times New Roman" w:hAnsi="Times New Roman" w:eastAsia="Calibri" w:cs="Times New Roman"/>
          <w:bCs/>
          <w:sz w:val="28"/>
          <w:szCs w:val="28"/>
        </w:rPr>
      </w:pPr>
      <w:r>
        <w:rPr>
          <w:rFonts w:eastAsia="Calibri" w:cs="Times New Roman" w:ascii="Times New Roman" w:hAnsi="Times New Roman"/>
          <w:bCs/>
          <w:sz w:val="28"/>
          <w:szCs w:val="28"/>
        </w:rPr>
        <w:t xml:space="preserve">Тутельян В.А. </w:t>
      </w:r>
      <w:r>
        <w:rPr>
          <w:rFonts w:cs="Times New Roman" w:ascii="Times New Roman" w:hAnsi="Times New Roman"/>
          <w:sz w:val="28"/>
          <w:szCs w:val="28"/>
        </w:rPr>
        <w:t xml:space="preserve">Химический состав и калорийность российских продуктов: Справочник. – М.: ДеЛи плюс, 2012. – 284 с. </w:t>
      </w:r>
    </w:p>
    <w:p>
      <w:pPr>
        <w:pStyle w:val="ListParagraph"/>
        <w:numPr>
          <w:ilvl w:val="0"/>
          <w:numId w:val="1"/>
        </w:numPr>
        <w:spacing w:lineRule="auto" w:line="360" w:before="0" w:after="0"/>
        <w:ind w:left="0" w:hanging="0"/>
        <w:contextualSpacing/>
        <w:jc w:val="both"/>
        <w:rPr>
          <w:rFonts w:ascii="Times New Roman" w:hAnsi="Times New Roman" w:cs="Times New Roman"/>
          <w:sz w:val="28"/>
          <w:szCs w:val="28"/>
        </w:rPr>
      </w:pPr>
      <w:r>
        <w:rPr>
          <w:rFonts w:cs="Times New Roman" w:ascii="Times New Roman" w:hAnsi="Times New Roman"/>
          <w:sz w:val="28"/>
          <w:szCs w:val="28"/>
        </w:rPr>
        <w:t xml:space="preserve">Федотова О.Б., Макаркин Д. В., Соколова О.В., Дунченко Н.И. Разработка и исследования пищевой и биологической ценности и потребительских свойств кисломолочного продукта с мукой, не содержащего глютен // Вопросы питания. 2019. Т. 88, № 2. С. 101-110. </w:t>
      </w:r>
      <w:r>
        <w:rPr>
          <w:rFonts w:cs="Times New Roman" w:ascii="Times New Roman" w:hAnsi="Times New Roman"/>
          <w:sz w:val="28"/>
          <w:szCs w:val="28"/>
          <w:lang w:val="en-US"/>
        </w:rPr>
        <w:t>doi</w:t>
      </w:r>
      <w:r>
        <w:rPr>
          <w:rFonts w:cs="Times New Roman" w:ascii="Times New Roman" w:hAnsi="Times New Roman"/>
          <w:sz w:val="28"/>
          <w:szCs w:val="28"/>
        </w:rPr>
        <w:t xml:space="preserve">: </w:t>
      </w:r>
      <w:r>
        <w:rPr>
          <w:rFonts w:cs="Times New Roman" w:ascii="Times New Roman" w:hAnsi="Times New Roman"/>
          <w:sz w:val="28"/>
          <w:szCs w:val="28"/>
          <w:lang w:val="en-US"/>
        </w:rPr>
        <w:t>10.24411/0042-8833-20</w:t>
      </w:r>
      <w:r>
        <w:rPr>
          <w:rFonts w:cs="Times New Roman" w:ascii="Times New Roman" w:hAnsi="Times New Roman"/>
          <w:sz w:val="28"/>
          <w:szCs w:val="28"/>
        </w:rPr>
        <w:t>19</w:t>
      </w:r>
      <w:r>
        <w:rPr>
          <w:rFonts w:cs="Times New Roman" w:ascii="Times New Roman" w:hAnsi="Times New Roman"/>
          <w:sz w:val="28"/>
          <w:szCs w:val="28"/>
          <w:lang w:val="en-US"/>
        </w:rPr>
        <w:t>-100</w:t>
      </w:r>
      <w:r>
        <w:rPr>
          <w:rFonts w:cs="Times New Roman" w:ascii="Times New Roman" w:hAnsi="Times New Roman"/>
          <w:sz w:val="28"/>
          <w:szCs w:val="28"/>
        </w:rPr>
        <w:t>23</w:t>
      </w:r>
      <w:r>
        <w:rPr>
          <w:rFonts w:cs="Times New Roman" w:ascii="Times New Roman" w:hAnsi="Times New Roman"/>
          <w:sz w:val="28"/>
          <w:szCs w:val="28"/>
          <w:lang w:val="en-US"/>
        </w:rPr>
        <w:t>.</w:t>
      </w:r>
    </w:p>
    <w:sectPr>
      <w:type w:val="nextPage"/>
      <w:pgSz w:w="11906" w:h="16838"/>
      <w:pgMar w:left="1134" w:right="1134"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ahoma">
    <w:charset w:val="cc"/>
    <w:family w:val="roman"/>
    <w:pitch w:val="variable"/>
  </w:font>
  <w:font w:name="Liberation Sans">
    <w:altName w:val="Arial"/>
    <w:charset w:val="cc"/>
    <w:family w:val="swiss"/>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80" w:hanging="360"/>
      </w:pPr>
      <w:rPr>
        <w:b w:val="false"/>
        <w:bCs w:val="false"/>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752f7"/>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next w:val="Normal"/>
    <w:link w:val="10"/>
    <w:uiPriority w:val="9"/>
    <w:qFormat/>
    <w:rsid w:val="00b752f7"/>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2">
    <w:name w:val="Heading 2"/>
    <w:basedOn w:val="Normal"/>
    <w:next w:val="Normal"/>
    <w:link w:val="20"/>
    <w:uiPriority w:val="9"/>
    <w:semiHidden/>
    <w:unhideWhenUsed/>
    <w:qFormat/>
    <w:rsid w:val="00b752f7"/>
    <w:pPr>
      <w:keepNext w:val="true"/>
      <w:keepLines/>
      <w:spacing w:before="40" w:after="0"/>
      <w:outlineLvl w:val="1"/>
    </w:pPr>
    <w:rPr>
      <w:rFonts w:ascii="Cambria" w:hAnsi="Cambria" w:eastAsia="" w:cs="" w:asciiTheme="majorHAnsi" w:cstheme="majorBidi" w:eastAsiaTheme="majorEastAsia" w:hAnsiTheme="majorHAnsi"/>
      <w:color w:val="365F91" w:themeColor="accent1" w:themeShade="bf"/>
      <w:sz w:val="26"/>
      <w:szCs w:val="26"/>
    </w:rPr>
  </w:style>
  <w:style w:type="paragraph" w:styleId="3">
    <w:name w:val="Heading 3"/>
    <w:basedOn w:val="Normal"/>
    <w:next w:val="Normal"/>
    <w:link w:val="30"/>
    <w:uiPriority w:val="9"/>
    <w:semiHidden/>
    <w:unhideWhenUsed/>
    <w:qFormat/>
    <w:rsid w:val="00b752f7"/>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sz w:val="24"/>
      <w:szCs w:val="24"/>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b752f7"/>
    <w:rPr>
      <w:rFonts w:ascii="Cambria" w:hAnsi="Cambria" w:eastAsia="" w:cs="" w:asciiTheme="majorHAnsi" w:cstheme="majorBidi" w:eastAsiaTheme="majorEastAsia" w:hAnsiTheme="majorHAnsi"/>
      <w:color w:val="365F91" w:themeColor="accent1" w:themeShade="bf"/>
      <w:sz w:val="32"/>
      <w:szCs w:val="32"/>
    </w:rPr>
  </w:style>
  <w:style w:type="character" w:styleId="21" w:customStyle="1">
    <w:name w:val="Заголовок 2 Знак"/>
    <w:basedOn w:val="DefaultParagraphFont"/>
    <w:link w:val="2"/>
    <w:uiPriority w:val="9"/>
    <w:semiHidden/>
    <w:qFormat/>
    <w:rsid w:val="00b752f7"/>
    <w:rPr>
      <w:rFonts w:ascii="Cambria" w:hAnsi="Cambria" w:eastAsia="" w:cs="" w:asciiTheme="majorHAnsi" w:cstheme="majorBidi" w:eastAsiaTheme="majorEastAsia" w:hAnsiTheme="majorHAnsi"/>
      <w:color w:val="365F91" w:themeColor="accent1" w:themeShade="bf"/>
      <w:sz w:val="26"/>
      <w:szCs w:val="26"/>
    </w:rPr>
  </w:style>
  <w:style w:type="character" w:styleId="31" w:customStyle="1">
    <w:name w:val="Заголовок 3 Знак"/>
    <w:basedOn w:val="DefaultParagraphFont"/>
    <w:link w:val="3"/>
    <w:uiPriority w:val="9"/>
    <w:semiHidden/>
    <w:qFormat/>
    <w:rsid w:val="00b752f7"/>
    <w:rPr>
      <w:rFonts w:ascii="Cambria" w:hAnsi="Cambria" w:eastAsia="" w:cs="" w:asciiTheme="majorHAnsi" w:cstheme="majorBidi" w:eastAsiaTheme="majorEastAsia" w:hAnsiTheme="majorHAnsi"/>
      <w:color w:val="243F60" w:themeColor="accent1" w:themeShade="7f"/>
      <w:sz w:val="24"/>
      <w:szCs w:val="24"/>
    </w:rPr>
  </w:style>
  <w:style w:type="character" w:styleId="Style11">
    <w:name w:val="Интернет-ссылка"/>
    <w:basedOn w:val="DefaultParagraphFont"/>
    <w:uiPriority w:val="99"/>
    <w:unhideWhenUsed/>
    <w:rsid w:val="00b752f7"/>
    <w:rPr>
      <w:color w:val="0000FF" w:themeColor="hyperlink"/>
      <w:u w:val="single"/>
    </w:rPr>
  </w:style>
  <w:style w:type="character" w:styleId="Style12">
    <w:name w:val="Посещённая гиперссылка"/>
    <w:basedOn w:val="DefaultParagraphFont"/>
    <w:uiPriority w:val="99"/>
    <w:semiHidden/>
    <w:unhideWhenUsed/>
    <w:rsid w:val="00b752f7"/>
    <w:rPr>
      <w:color w:val="800080" w:themeColor="followedHyperlink"/>
      <w:u w:val="single"/>
    </w:rPr>
  </w:style>
  <w:style w:type="character" w:styleId="Style13" w:customStyle="1">
    <w:name w:val="Верхний колонтитул Знак"/>
    <w:basedOn w:val="DefaultParagraphFont"/>
    <w:link w:val="a6"/>
    <w:uiPriority w:val="99"/>
    <w:semiHidden/>
    <w:qFormat/>
    <w:rsid w:val="00b752f7"/>
    <w:rPr/>
  </w:style>
  <w:style w:type="character" w:styleId="Style14" w:customStyle="1">
    <w:name w:val="Нижний колонтитул Знак"/>
    <w:basedOn w:val="DefaultParagraphFont"/>
    <w:link w:val="a8"/>
    <w:uiPriority w:val="99"/>
    <w:semiHidden/>
    <w:qFormat/>
    <w:rsid w:val="00b752f7"/>
    <w:rPr/>
  </w:style>
  <w:style w:type="character" w:styleId="Style15" w:customStyle="1">
    <w:name w:val="Заголовок Знак"/>
    <w:basedOn w:val="DefaultParagraphFont"/>
    <w:link w:val="aa"/>
    <w:uiPriority w:val="10"/>
    <w:qFormat/>
    <w:rsid w:val="00b752f7"/>
    <w:rPr>
      <w:rFonts w:ascii="Cambria" w:hAnsi="Cambria" w:eastAsia="" w:cs="" w:asciiTheme="majorHAnsi" w:cstheme="majorBidi" w:eastAsiaTheme="majorEastAsia" w:hAnsiTheme="majorHAnsi"/>
      <w:spacing w:val="-10"/>
      <w:kern w:val="2"/>
      <w:sz w:val="56"/>
      <w:szCs w:val="56"/>
    </w:rPr>
  </w:style>
  <w:style w:type="character" w:styleId="Style16" w:customStyle="1">
    <w:name w:val="Основной текст Знак"/>
    <w:basedOn w:val="DefaultParagraphFont"/>
    <w:link w:val="ac"/>
    <w:uiPriority w:val="99"/>
    <w:semiHidden/>
    <w:qFormat/>
    <w:rsid w:val="00b752f7"/>
    <w:rPr/>
  </w:style>
  <w:style w:type="character" w:styleId="Style17" w:customStyle="1">
    <w:name w:val="Основной текст с отступом Знак"/>
    <w:basedOn w:val="DefaultParagraphFont"/>
    <w:link w:val="ae"/>
    <w:uiPriority w:val="99"/>
    <w:semiHidden/>
    <w:qFormat/>
    <w:rsid w:val="00b752f7"/>
    <w:rPr/>
  </w:style>
  <w:style w:type="character" w:styleId="22" w:customStyle="1">
    <w:name w:val="Основной текст 2 Знак"/>
    <w:basedOn w:val="DefaultParagraphFont"/>
    <w:link w:val="22"/>
    <w:uiPriority w:val="99"/>
    <w:semiHidden/>
    <w:qFormat/>
    <w:rsid w:val="00b752f7"/>
    <w:rPr/>
  </w:style>
  <w:style w:type="character" w:styleId="23" w:customStyle="1">
    <w:name w:val="Основной текст с отступом 2 Знак"/>
    <w:basedOn w:val="DefaultParagraphFont"/>
    <w:link w:val="24"/>
    <w:uiPriority w:val="99"/>
    <w:semiHidden/>
    <w:qFormat/>
    <w:rsid w:val="00b752f7"/>
    <w:rPr/>
  </w:style>
  <w:style w:type="character" w:styleId="Style18" w:customStyle="1">
    <w:name w:val="Текст выноски Знак"/>
    <w:basedOn w:val="DefaultParagraphFont"/>
    <w:link w:val="af0"/>
    <w:uiPriority w:val="99"/>
    <w:semiHidden/>
    <w:qFormat/>
    <w:rsid w:val="00b752f7"/>
    <w:rPr>
      <w:rFonts w:ascii="Tahoma" w:hAnsi="Tahoma" w:cs="Tahoma"/>
      <w:sz w:val="16"/>
      <w:szCs w:val="16"/>
    </w:rPr>
  </w:style>
  <w:style w:type="character" w:styleId="Accordiontabbedtabmobile" w:customStyle="1">
    <w:name w:val="accordion-tabbed__tab-mobile"/>
    <w:basedOn w:val="DefaultParagraphFont"/>
    <w:qFormat/>
    <w:rsid w:val="00be2077"/>
    <w:rPr/>
  </w:style>
  <w:style w:type="character" w:styleId="Commaseparator" w:customStyle="1">
    <w:name w:val="comma-separator"/>
    <w:basedOn w:val="DefaultParagraphFont"/>
    <w:qFormat/>
    <w:rsid w:val="00be2077"/>
    <w:rPr/>
  </w:style>
  <w:style w:type="character" w:styleId="12" w:customStyle="1">
    <w:name w:val="Неразрешенное упоминание1"/>
    <w:basedOn w:val="DefaultParagraphFont"/>
    <w:uiPriority w:val="99"/>
    <w:semiHidden/>
    <w:unhideWhenUsed/>
    <w:qFormat/>
    <w:rsid w:val="00ef101b"/>
    <w:rPr>
      <w:color w:val="605E5C"/>
      <w:shd w:fill="E1DFDD" w:val="clear"/>
    </w:rPr>
  </w:style>
  <w:style w:type="character" w:styleId="PlaceholderText">
    <w:name w:val="Placeholder Text"/>
    <w:basedOn w:val="DefaultParagraphFont"/>
    <w:uiPriority w:val="99"/>
    <w:semiHidden/>
    <w:qFormat/>
    <w:rsid w:val="00651cd4"/>
    <w:rPr>
      <w:color w:val="808080"/>
    </w:rPr>
  </w:style>
  <w:style w:type="paragraph" w:styleId="Style19">
    <w:name w:val="Заголовок"/>
    <w:basedOn w:val="Normal"/>
    <w:next w:val="Style20"/>
    <w:qFormat/>
    <w:pPr>
      <w:keepNext w:val="true"/>
      <w:spacing w:before="240" w:after="120"/>
    </w:pPr>
    <w:rPr>
      <w:rFonts w:ascii="Liberation Sans" w:hAnsi="Liberation Sans" w:eastAsia="Microsoft YaHei" w:cs="Arial Unicode MS"/>
      <w:sz w:val="28"/>
      <w:szCs w:val="28"/>
    </w:rPr>
  </w:style>
  <w:style w:type="paragraph" w:styleId="Style20">
    <w:name w:val="Body Text"/>
    <w:basedOn w:val="Normal"/>
    <w:link w:val="ad"/>
    <w:uiPriority w:val="99"/>
    <w:semiHidden/>
    <w:unhideWhenUsed/>
    <w:rsid w:val="00b752f7"/>
    <w:pPr>
      <w:spacing w:before="0" w:after="120"/>
    </w:pPr>
    <w:rPr/>
  </w:style>
  <w:style w:type="paragraph" w:styleId="Style21">
    <w:name w:val="List"/>
    <w:basedOn w:val="Style20"/>
    <w:pPr/>
    <w:rPr>
      <w:rFonts w:cs="Arial Unicode MS"/>
    </w:rPr>
  </w:style>
  <w:style w:type="paragraph" w:styleId="Style22">
    <w:name w:val="Caption"/>
    <w:basedOn w:val="Normal"/>
    <w:qFormat/>
    <w:pPr>
      <w:suppressLineNumbers/>
      <w:spacing w:before="120" w:after="120"/>
    </w:pPr>
    <w:rPr>
      <w:rFonts w:cs="Arial Unicode MS"/>
      <w:i/>
      <w:iCs/>
      <w:sz w:val="24"/>
      <w:szCs w:val="24"/>
    </w:rPr>
  </w:style>
  <w:style w:type="paragraph" w:styleId="Style23">
    <w:name w:val="Указатель"/>
    <w:basedOn w:val="Normal"/>
    <w:qFormat/>
    <w:pPr>
      <w:suppressLineNumbers/>
    </w:pPr>
    <w:rPr>
      <w:rFonts w:cs="Arial Unicode MS"/>
      <w:lang w:val="zxx" w:eastAsia="zxx" w:bidi="zxx"/>
    </w:rPr>
  </w:style>
  <w:style w:type="paragraph" w:styleId="NormalWeb">
    <w:name w:val="Normal (Web)"/>
    <w:basedOn w:val="Normal"/>
    <w:uiPriority w:val="99"/>
    <w:unhideWhenUsed/>
    <w:qFormat/>
    <w:rsid w:val="00b752f7"/>
    <w:pPr/>
    <w:rPr>
      <w:rFonts w:ascii="Times New Roman" w:hAnsi="Times New Roman" w:cs="Times New Roman"/>
      <w:sz w:val="24"/>
      <w:szCs w:val="24"/>
    </w:rPr>
  </w:style>
  <w:style w:type="paragraph" w:styleId="13">
    <w:name w:val="TOC 1"/>
    <w:basedOn w:val="Normal"/>
    <w:next w:val="Normal"/>
    <w:autoRedefine/>
    <w:uiPriority w:val="39"/>
    <w:semiHidden/>
    <w:unhideWhenUsed/>
    <w:rsid w:val="00b752f7"/>
    <w:pPr>
      <w:spacing w:before="0" w:after="100"/>
    </w:pPr>
    <w:rPr/>
  </w:style>
  <w:style w:type="paragraph" w:styleId="24">
    <w:name w:val="TOC 2"/>
    <w:basedOn w:val="Normal"/>
    <w:next w:val="Normal"/>
    <w:autoRedefine/>
    <w:uiPriority w:val="39"/>
    <w:semiHidden/>
    <w:unhideWhenUsed/>
    <w:rsid w:val="00b752f7"/>
    <w:pPr>
      <w:tabs>
        <w:tab w:val="clear" w:pos="708"/>
        <w:tab w:val="right" w:pos="9345" w:leader="dot"/>
      </w:tabs>
      <w:spacing w:before="0" w:after="100"/>
      <w:ind w:left="220" w:firstLine="206"/>
    </w:pPr>
    <w:rPr/>
  </w:style>
  <w:style w:type="paragraph" w:styleId="32">
    <w:name w:val="TOC 3"/>
    <w:basedOn w:val="Normal"/>
    <w:next w:val="Normal"/>
    <w:autoRedefine/>
    <w:uiPriority w:val="39"/>
    <w:semiHidden/>
    <w:unhideWhenUsed/>
    <w:rsid w:val="00b752f7"/>
    <w:pPr>
      <w:tabs>
        <w:tab w:val="clear" w:pos="708"/>
        <w:tab w:val="right" w:pos="9345" w:leader="dot"/>
      </w:tabs>
      <w:spacing w:before="0" w:after="100"/>
      <w:ind w:left="440" w:hanging="14"/>
    </w:pPr>
    <w:rPr/>
  </w:style>
  <w:style w:type="paragraph" w:styleId="Style24">
    <w:name w:val="Колонтитул"/>
    <w:basedOn w:val="Normal"/>
    <w:qFormat/>
    <w:pPr/>
    <w:rPr/>
  </w:style>
  <w:style w:type="paragraph" w:styleId="Style25">
    <w:name w:val="Header"/>
    <w:basedOn w:val="Normal"/>
    <w:link w:val="a7"/>
    <w:uiPriority w:val="99"/>
    <w:semiHidden/>
    <w:unhideWhenUsed/>
    <w:rsid w:val="00b752f7"/>
    <w:pPr>
      <w:tabs>
        <w:tab w:val="clear" w:pos="708"/>
        <w:tab w:val="center" w:pos="4677" w:leader="none"/>
        <w:tab w:val="right" w:pos="9355" w:leader="none"/>
      </w:tabs>
      <w:spacing w:lineRule="auto" w:line="240" w:before="0" w:after="0"/>
    </w:pPr>
    <w:rPr/>
  </w:style>
  <w:style w:type="paragraph" w:styleId="Style26">
    <w:name w:val="Footer"/>
    <w:basedOn w:val="Normal"/>
    <w:link w:val="a9"/>
    <w:uiPriority w:val="99"/>
    <w:semiHidden/>
    <w:unhideWhenUsed/>
    <w:rsid w:val="00b752f7"/>
    <w:pPr>
      <w:tabs>
        <w:tab w:val="clear" w:pos="708"/>
        <w:tab w:val="center" w:pos="4677" w:leader="none"/>
        <w:tab w:val="right" w:pos="9355" w:leader="none"/>
      </w:tabs>
      <w:spacing w:lineRule="auto" w:line="240" w:before="0" w:after="0"/>
    </w:pPr>
    <w:rPr/>
  </w:style>
  <w:style w:type="paragraph" w:styleId="Style27">
    <w:name w:val="Title"/>
    <w:basedOn w:val="Normal"/>
    <w:next w:val="Normal"/>
    <w:link w:val="ab"/>
    <w:uiPriority w:val="10"/>
    <w:qFormat/>
    <w:rsid w:val="00b752f7"/>
    <w:pPr>
      <w:spacing w:lineRule="auto" w:line="240" w:before="0" w:after="0"/>
      <w:contextualSpacing/>
    </w:pPr>
    <w:rPr>
      <w:rFonts w:ascii="Cambria" w:hAnsi="Cambria" w:eastAsia="" w:cs="" w:asciiTheme="majorHAnsi" w:cstheme="majorBidi" w:eastAsiaTheme="majorEastAsia" w:hAnsiTheme="majorHAnsi"/>
      <w:spacing w:val="-10"/>
      <w:kern w:val="2"/>
      <w:sz w:val="56"/>
      <w:szCs w:val="56"/>
    </w:rPr>
  </w:style>
  <w:style w:type="paragraph" w:styleId="Style28">
    <w:name w:val="Body Text Indent"/>
    <w:basedOn w:val="Normal"/>
    <w:link w:val="af"/>
    <w:uiPriority w:val="99"/>
    <w:semiHidden/>
    <w:unhideWhenUsed/>
    <w:rsid w:val="00b752f7"/>
    <w:pPr>
      <w:spacing w:before="0" w:after="120"/>
      <w:ind w:left="283" w:hanging="0"/>
    </w:pPr>
    <w:rPr/>
  </w:style>
  <w:style w:type="paragraph" w:styleId="BodyText2">
    <w:name w:val="Body Text 2"/>
    <w:basedOn w:val="Normal"/>
    <w:link w:val="23"/>
    <w:uiPriority w:val="99"/>
    <w:semiHidden/>
    <w:unhideWhenUsed/>
    <w:qFormat/>
    <w:rsid w:val="00b752f7"/>
    <w:pPr>
      <w:spacing w:lineRule="auto" w:line="480" w:before="0" w:after="120"/>
    </w:pPr>
    <w:rPr/>
  </w:style>
  <w:style w:type="paragraph" w:styleId="BodyTextIndent2">
    <w:name w:val="Body Text Indent 2"/>
    <w:basedOn w:val="Normal"/>
    <w:link w:val="25"/>
    <w:uiPriority w:val="99"/>
    <w:semiHidden/>
    <w:unhideWhenUsed/>
    <w:qFormat/>
    <w:rsid w:val="00b752f7"/>
    <w:pPr>
      <w:spacing w:lineRule="auto" w:line="480" w:before="0" w:after="120"/>
      <w:ind w:left="283" w:hanging="0"/>
    </w:pPr>
    <w:rPr/>
  </w:style>
  <w:style w:type="paragraph" w:styleId="BalloonText">
    <w:name w:val="Balloon Text"/>
    <w:basedOn w:val="Normal"/>
    <w:link w:val="af1"/>
    <w:uiPriority w:val="99"/>
    <w:semiHidden/>
    <w:unhideWhenUsed/>
    <w:qFormat/>
    <w:rsid w:val="00b752f7"/>
    <w:pPr>
      <w:spacing w:lineRule="auto" w:line="240" w:before="0" w:after="0"/>
    </w:pPr>
    <w:rPr>
      <w:rFonts w:ascii="Tahoma" w:hAnsi="Tahoma" w:cs="Tahoma"/>
      <w:sz w:val="16"/>
      <w:szCs w:val="16"/>
    </w:rPr>
  </w:style>
  <w:style w:type="paragraph" w:styleId="ListParagraph">
    <w:name w:val="List Paragraph"/>
    <w:basedOn w:val="Normal"/>
    <w:uiPriority w:val="34"/>
    <w:qFormat/>
    <w:rsid w:val="00b752f7"/>
    <w:pPr>
      <w:spacing w:before="0" w:after="200"/>
      <w:ind w:left="720" w:hanging="0"/>
      <w:contextualSpacing/>
    </w:pPr>
    <w:rPr/>
  </w:style>
  <w:style w:type="paragraph" w:styleId="14" w:customStyle="1">
    <w:name w:val="Обычный (веб)1"/>
    <w:basedOn w:val="Normal"/>
    <w:uiPriority w:val="99"/>
    <w:semiHidden/>
    <w:qFormat/>
    <w:rsid w:val="00b752f7"/>
    <w:pPr>
      <w:tabs>
        <w:tab w:val="left" w:pos="708" w:leader="none"/>
      </w:tabs>
      <w:suppressAutoHyphens w:val="true"/>
      <w:ind w:left="720" w:hanging="0"/>
    </w:pPr>
    <w:rPr>
      <w:rFonts w:ascii="Calibri" w:hAnsi="Calibri" w:eastAsia="Times New Roman" w:cs="Calibri"/>
      <w:color w:val="00000A"/>
      <w:kern w:val="2"/>
      <w:sz w:val="24"/>
      <w:szCs w:val="28"/>
      <w:lang w:val="en-US" w:eastAsia="fa-IR" w:bidi="fa-IR"/>
    </w:rPr>
  </w:style>
  <w:style w:type="paragraph" w:styleId="Msonormalbullet1gif" w:customStyle="1">
    <w:name w:val="msonormalbullet1.gif"/>
    <w:basedOn w:val="Normal"/>
    <w:uiPriority w:val="99"/>
    <w:semiHidden/>
    <w:qFormat/>
    <w:rsid w:val="00b752f7"/>
    <w:pPr>
      <w:tabs>
        <w:tab w:val="left" w:pos="708" w:leader="none"/>
      </w:tabs>
      <w:suppressAutoHyphens w:val="true"/>
      <w:spacing w:before="28" w:after="100"/>
    </w:pPr>
    <w:rPr>
      <w:rFonts w:ascii="Times New Roman" w:hAnsi="Times New Roman" w:eastAsia="Times New Roman" w:cs="Times New Roman"/>
      <w:color w:val="00000A"/>
      <w:kern w:val="2"/>
      <w:sz w:val="24"/>
      <w:szCs w:val="28"/>
      <w:lang w:val="de-DE" w:eastAsia="fa-IR" w:bidi="fa-IR"/>
    </w:rPr>
  </w:style>
  <w:style w:type="paragraph" w:styleId="Msonormalbullet2gifbullet1gif" w:customStyle="1">
    <w:name w:val="msonormalbullet2gifbullet1.gif"/>
    <w:basedOn w:val="Normal"/>
    <w:uiPriority w:val="99"/>
    <w:semiHidden/>
    <w:qFormat/>
    <w:rsid w:val="00b752f7"/>
    <w:pPr>
      <w:tabs>
        <w:tab w:val="left" w:pos="708" w:leader="none"/>
      </w:tabs>
      <w:suppressAutoHyphens w:val="true"/>
      <w:spacing w:before="28" w:after="100"/>
    </w:pPr>
    <w:rPr>
      <w:rFonts w:ascii="Times New Roman" w:hAnsi="Times New Roman" w:eastAsia="Times New Roman" w:cs="Times New Roman"/>
      <w:color w:val="00000A"/>
      <w:kern w:val="2"/>
      <w:sz w:val="24"/>
      <w:szCs w:val="28"/>
      <w:lang w:val="de-DE" w:eastAsia="fa-IR" w:bidi="fa-IR"/>
    </w:rPr>
  </w:style>
  <w:style w:type="paragraph" w:styleId="Msonormalbullet2gifbullet2gif" w:customStyle="1">
    <w:name w:val="msonormalbullet2gifbullet2.gif"/>
    <w:basedOn w:val="Normal"/>
    <w:uiPriority w:val="99"/>
    <w:semiHidden/>
    <w:qFormat/>
    <w:rsid w:val="00b752f7"/>
    <w:pPr>
      <w:tabs>
        <w:tab w:val="left" w:pos="708" w:leader="none"/>
      </w:tabs>
      <w:suppressAutoHyphens w:val="true"/>
      <w:spacing w:before="28" w:after="100"/>
    </w:pPr>
    <w:rPr>
      <w:rFonts w:ascii="Times New Roman" w:hAnsi="Times New Roman" w:eastAsia="Times New Roman" w:cs="Times New Roman"/>
      <w:color w:val="00000A"/>
      <w:kern w:val="2"/>
      <w:sz w:val="24"/>
      <w:szCs w:val="28"/>
      <w:lang w:val="de-DE" w:eastAsia="fa-IR" w:bidi="fa-IR"/>
    </w:rPr>
  </w:style>
  <w:style w:type="paragraph" w:styleId="Msonormalbullet2gifbullet3gif" w:customStyle="1">
    <w:name w:val="msonormalbullet2gifbullet3.gif"/>
    <w:basedOn w:val="Normal"/>
    <w:uiPriority w:val="99"/>
    <w:semiHidden/>
    <w:qFormat/>
    <w:rsid w:val="00b752f7"/>
    <w:pPr>
      <w:tabs>
        <w:tab w:val="left" w:pos="708" w:leader="none"/>
      </w:tabs>
      <w:suppressAutoHyphens w:val="true"/>
      <w:spacing w:before="28" w:after="100"/>
    </w:pPr>
    <w:rPr>
      <w:rFonts w:ascii="Times New Roman" w:hAnsi="Times New Roman" w:eastAsia="Times New Roman" w:cs="Times New Roman"/>
      <w:color w:val="00000A"/>
      <w:kern w:val="2"/>
      <w:sz w:val="24"/>
      <w:szCs w:val="28"/>
      <w:lang w:val="de-DE" w:eastAsia="fa-IR" w:bidi="fa-IR"/>
    </w:rPr>
  </w:style>
  <w:style w:type="paragraph" w:styleId="Msonormalbullet2gifbullet2gifbullet1gif" w:customStyle="1">
    <w:name w:val="msonormalbullet2gifbullet2gifbullet1.gif"/>
    <w:basedOn w:val="Normal"/>
    <w:uiPriority w:val="99"/>
    <w:semiHidden/>
    <w:qFormat/>
    <w:rsid w:val="00b752f7"/>
    <w:pPr>
      <w:tabs>
        <w:tab w:val="left" w:pos="708" w:leader="none"/>
      </w:tabs>
      <w:suppressAutoHyphens w:val="true"/>
      <w:spacing w:before="28" w:after="100"/>
    </w:pPr>
    <w:rPr>
      <w:rFonts w:ascii="Times New Roman" w:hAnsi="Times New Roman" w:eastAsia="Times New Roman" w:cs="Times New Roman"/>
      <w:color w:val="00000A"/>
      <w:kern w:val="2"/>
      <w:sz w:val="24"/>
      <w:szCs w:val="28"/>
      <w:lang w:val="de-DE" w:eastAsia="fa-IR" w:bidi="fa-IR"/>
    </w:rPr>
  </w:style>
  <w:style w:type="paragraph" w:styleId="Msonormalbullet2gifbullet2gifbullet3gif" w:customStyle="1">
    <w:name w:val="msonormalbullet2gifbullet2gifbullet3.gif"/>
    <w:basedOn w:val="Normal"/>
    <w:uiPriority w:val="99"/>
    <w:semiHidden/>
    <w:qFormat/>
    <w:rsid w:val="00b752f7"/>
    <w:pPr>
      <w:tabs>
        <w:tab w:val="left" w:pos="708" w:leader="none"/>
      </w:tabs>
      <w:suppressAutoHyphens w:val="true"/>
      <w:spacing w:before="28" w:after="100"/>
    </w:pPr>
    <w:rPr>
      <w:rFonts w:ascii="Times New Roman" w:hAnsi="Times New Roman" w:eastAsia="Times New Roman" w:cs="Times New Roman"/>
      <w:color w:val="00000A"/>
      <w:kern w:val="2"/>
      <w:sz w:val="24"/>
      <w:szCs w:val="28"/>
      <w:lang w:val="de-DE" w:eastAsia="fa-IR" w:bidi="fa-IR"/>
    </w:rPr>
  </w:style>
  <w:style w:type="paragraph" w:styleId="Msonormalbullet2gifbullet1gifbullet1gif" w:customStyle="1">
    <w:name w:val="msonormalbullet2gifbullet1gifbullet1.gif"/>
    <w:basedOn w:val="Normal"/>
    <w:uiPriority w:val="99"/>
    <w:semiHidden/>
    <w:qFormat/>
    <w:rsid w:val="00b752f7"/>
    <w:pPr>
      <w:tabs>
        <w:tab w:val="left" w:pos="708" w:leader="none"/>
      </w:tabs>
      <w:suppressAutoHyphens w:val="true"/>
      <w:spacing w:before="28" w:after="100"/>
    </w:pPr>
    <w:rPr>
      <w:rFonts w:ascii="Times New Roman" w:hAnsi="Times New Roman" w:eastAsia="Times New Roman" w:cs="Times New Roman"/>
      <w:color w:val="00000A"/>
      <w:kern w:val="2"/>
      <w:sz w:val="24"/>
      <w:szCs w:val="28"/>
      <w:lang w:val="de-DE" w:eastAsia="fa-IR" w:bidi="fa-IR"/>
    </w:rPr>
  </w:style>
  <w:style w:type="paragraph" w:styleId="Msonormalbullet2gifbullet1gifbullet3gif" w:customStyle="1">
    <w:name w:val="msonormalbullet2gifbullet1gifbullet3.gif"/>
    <w:basedOn w:val="Normal"/>
    <w:uiPriority w:val="99"/>
    <w:semiHidden/>
    <w:qFormat/>
    <w:rsid w:val="00b752f7"/>
    <w:pPr>
      <w:tabs>
        <w:tab w:val="left" w:pos="708" w:leader="none"/>
      </w:tabs>
      <w:suppressAutoHyphens w:val="true"/>
      <w:spacing w:before="28" w:after="100"/>
    </w:pPr>
    <w:rPr>
      <w:rFonts w:ascii="Times New Roman" w:hAnsi="Times New Roman" w:eastAsia="Times New Roman" w:cs="Times New Roman"/>
      <w:color w:val="00000A"/>
      <w:kern w:val="2"/>
      <w:sz w:val="24"/>
      <w:szCs w:val="28"/>
      <w:lang w:val="de-DE" w:eastAsia="fa-IR" w:bidi="fa-IR"/>
    </w:rPr>
  </w:style>
  <w:style w:type="paragraph" w:styleId="Formattext" w:customStyle="1">
    <w:name w:val="formattext"/>
    <w:basedOn w:val="Normal"/>
    <w:uiPriority w:val="99"/>
    <w:semiHidden/>
    <w:qFormat/>
    <w:rsid w:val="00b752f7"/>
    <w:pPr>
      <w:spacing w:lineRule="auto" w:line="240" w:beforeAutospacing="1" w:afterAutospacing="1"/>
    </w:pPr>
    <w:rPr>
      <w:rFonts w:ascii="Times New Roman" w:hAnsi="Times New Roman" w:eastAsia="Times New Roman" w:cs="Times New Roman"/>
      <w:sz w:val="24"/>
      <w:szCs w:val="24"/>
      <w:lang w:eastAsia="ru-RU"/>
    </w:rPr>
  </w:style>
  <w:style w:type="paragraph" w:styleId="Style29" w:customStyle="1">
    <w:name w:val="Примечание"/>
    <w:basedOn w:val="Style20"/>
    <w:qFormat/>
    <w:rsid w:val="00b752f7"/>
    <w:pPr>
      <w:spacing w:lineRule="auto" w:line="240" w:before="0" w:after="0"/>
      <w:ind w:left="709" w:hanging="709"/>
      <w:jc w:val="both"/>
    </w:pPr>
    <w:rPr>
      <w:rFonts w:ascii="Times New Roman" w:hAnsi="Times New Roman" w:eastAsia="Times New Roman" w:cs="Times New Roman"/>
      <w:bCs/>
      <w:sz w:val="24"/>
      <w:szCs w:val="20"/>
      <w:lang w:eastAsia="ru-RU"/>
    </w:rPr>
  </w:style>
  <w:style w:type="paragraph" w:styleId="Style30" w:customStyle="1">
    <w:name w:val="Содержимое таблицы"/>
    <w:basedOn w:val="Normal"/>
    <w:qFormat/>
    <w:rsid w:val="00435f7e"/>
    <w:pPr>
      <w:widowControl w:val="false"/>
      <w:suppressLineNumbers/>
      <w:suppressAutoHyphens w:val="true"/>
      <w:spacing w:lineRule="auto" w:line="240" w:before="0" w:after="0"/>
      <w:textAlignment w:val="baseline"/>
    </w:pPr>
    <w:rPr>
      <w:rFonts w:ascii="Times New Roman" w:hAnsi="Times New Roman" w:eastAsia="Andale Sans UI" w:cs="Tahoma"/>
      <w:kern w:val="2"/>
      <w:sz w:val="24"/>
      <w:szCs w:val="24"/>
    </w:rPr>
  </w:style>
  <w:style w:type="paragraph" w:styleId="Pagerange" w:customStyle="1">
    <w:name w:val="page-range"/>
    <w:basedOn w:val="Normal"/>
    <w:qFormat/>
    <w:rsid w:val="00be2077"/>
    <w:pPr>
      <w:spacing w:lineRule="auto" w:line="240" w:beforeAutospacing="1" w:afterAutospacing="1"/>
    </w:pPr>
    <w:rPr>
      <w:rFonts w:ascii="Times New Roman" w:hAnsi="Times New Roman" w:eastAsia="Times New Roman" w:cs="Times New Roman"/>
      <w:sz w:val="24"/>
      <w:szCs w:val="24"/>
      <w:lang w:eastAsia="ru-RU"/>
    </w:rPr>
  </w:style>
  <w:style w:type="paragraph" w:styleId="Default" w:customStyle="1">
    <w:name w:val="Default"/>
    <w:qFormat/>
    <w:rsid w:val="00be2077"/>
    <w:pPr>
      <w:widowControl/>
      <w:bidi w:val="0"/>
      <w:spacing w:lineRule="auto" w:line="240" w:before="0" w:after="0"/>
      <w:jc w:val="left"/>
    </w:pPr>
    <w:rPr>
      <w:rFonts w:ascii="Times New Roman" w:hAnsi="Times New Roman" w:cs="Times New Roman" w:eastAsia="Calibri"/>
      <w:color w:val="000000"/>
      <w:kern w:val="0"/>
      <w:sz w:val="24"/>
      <w:szCs w:val="24"/>
      <w:lang w:eastAsia="ru-RU" w:val="ru-RU"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4">
    <w:name w:val="Table Grid"/>
    <w:basedOn w:val="a1"/>
    <w:uiPriority w:val="39"/>
    <w:rsid w:val="00b752f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
    <w:name w:val="Сетка таблицы1"/>
    <w:basedOn w:val="a1"/>
    <w:uiPriority w:val="39"/>
    <w:rsid w:val="00b752f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chart" Target="charts/chart1.xml"/><Relationship Id="rId3" Type="http://schemas.openxmlformats.org/officeDocument/2006/relationships/chart" Target="charts/chart2.xml"/><Relationship Id="rId4" Type="http://schemas.openxmlformats.org/officeDocument/2006/relationships/chart" Target="charts/chart3.xml"/><Relationship Id="rId5" Type="http://schemas.openxmlformats.org/officeDocument/2006/relationships/image" Target="media/image1.jpeg"/><Relationship Id="rId6" Type="http://schemas.openxmlformats.org/officeDocument/2006/relationships/hyperlink" Target="https://doi.org/10.1093/advances/nmz004" TargetMode="External"/><Relationship Id="rId7" Type="http://schemas.openxmlformats.org/officeDocument/2006/relationships/hyperlink" Target="http://www.mdpi.com/journal/nutrients" TargetMode="External"/><Relationship Id="rId8" Type="http://schemas.openxmlformats.org/officeDocument/2006/relationships/hyperlink" Target="https://doi.org/10.1007/s00394-018-1830-y" TargetMode="External"/><Relationship Id="rId9" Type="http://schemas.openxmlformats.org/officeDocument/2006/relationships/hyperlink" Target="https://onlinelibrary.wiley.com/action/doSearch?ContribAuthorRaw=Bulut%2C+Menek&#351;e" TargetMode="External"/><Relationship Id="rId10" Type="http://schemas.openxmlformats.org/officeDocument/2006/relationships/hyperlink" Target="https://onlinelibrary.wiley.com/action/doSearch?ContribAuthorRaw=Tun&#231;t&#252;rk%2C+Yusuf" TargetMode="External"/><Relationship Id="rId11" Type="http://schemas.openxmlformats.org/officeDocument/2006/relationships/hyperlink" Target="https://onlinelibrary.wiley.com/action/doSearch?ContribAuthorRaw=Alwazeer%2C+Duried" TargetMode="External"/><Relationship Id="rId12" Type="http://schemas.openxmlformats.org/officeDocument/2006/relationships/hyperlink" Target="https://onlinelibrary.wiley.com/journal/14710307" TargetMode="External"/><Relationship Id="rId13" Type="http://schemas.openxmlformats.org/officeDocument/2006/relationships/hyperlink" Target="https://onlinelibrary.wiley.com/action/doSearch?ContribAuthorStored=Riahi%2C+Esmaeil" TargetMode="External"/><Relationship Id="rId14" Type="http://schemas.openxmlformats.org/officeDocument/2006/relationships/hyperlink" Target="https://doi.org/10.3390/nu12102936" TargetMode="External"/><Relationship Id="rId15" Type="http://schemas.openxmlformats.org/officeDocument/2006/relationships/hyperlink" Target="https://doi.org/10.3390/nu12041096" TargetMode="External"/><Relationship Id="rId16" Type="http://schemas.openxmlformats.org/officeDocument/2006/relationships/hyperlink" Target="https://doi.org/10.1007/s10620-020-06112-w" TargetMode="External"/><Relationship Id="rId17" Type="http://schemas.openxmlformats.org/officeDocument/2006/relationships/hyperlink" Target="https://doi.org/10.3390/nu12020381" TargetMode="Externa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
</Relationships>
</file>

<file path=word/charts/_rels/chart2.xml.rels><?xml version="1.0" encoding="UTF-8"?>
<Relationships xmlns="http://schemas.openxmlformats.org/package/2006/relationships"><Relationship Id="rId1" Type="http://schemas.openxmlformats.org/officeDocument/2006/relationships/package" Target="../embeddings/Microsoft_Excel_Worksheet.xlsx"/>
</Relationships>
</file>

<file path=word/charts/chart1.xml><?xml version="1.0" encoding="utf-8"?>
<c:chartSpace xmlns:c="http://schemas.openxmlformats.org/drawingml/2006/chart" xmlns:a="http://schemas.openxmlformats.org/drawingml/2006/main" xmlns:r="http://schemas.openxmlformats.org/officeDocument/2006/relationships">
  <c:lang val="en-US"/>
  <c:roundedCorners val="0"/>
  <c:chart>
    <c:autoTitleDeleted val="1"/>
    <c:plotArea>
      <c:radarChart>
        <c:radarStyle val="marker"/>
        <c:varyColors val="0"/>
        <c:ser>
          <c:idx val="0"/>
          <c:order val="0"/>
          <c:tx>
            <c:strRef>
              <c:f>label 0</c:f>
              <c:strCache>
                <c:ptCount val="1"/>
                <c:pt idx="0">
                  <c:v>Образец 1</c:v>
                </c:pt>
              </c:strCache>
            </c:strRef>
          </c:tx>
          <c:spPr>
            <a:solidFill>
              <a:srgbClr val="4f81bd"/>
            </a:solidFill>
            <a:ln cap="rnd" w="28440">
              <a:solidFill>
                <a:srgbClr val="4f81bd"/>
              </a:solidFill>
              <a:round/>
            </a:ln>
          </c:spPr>
          <c:marker>
            <c:symbol val="none"/>
          </c:marker>
          <c:dLbls>
            <c:txPr>
              <a:bodyPr wrap="square"/>
              <a:lstStyle/>
              <a:p>
                <a:pPr>
                  <a:defRPr b="0" sz="1200" spc="-1" strike="noStrike">
                    <a:solidFill>
                      <a:srgbClr val="000000"/>
                    </a:solidFill>
                    <a:latin typeface="Times New Roman"/>
                  </a:defRPr>
                </a:pPr>
              </a:p>
            </c:txPr>
            <c:showLegendKey val="0"/>
            <c:showVal val="0"/>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4"/>
                <c:pt idx="0">
                  <c:v>вкус</c:v>
                </c:pt>
                <c:pt idx="1">
                  <c:v>запах</c:v>
                </c:pt>
                <c:pt idx="2">
                  <c:v>цвет</c:v>
                </c:pt>
                <c:pt idx="3">
                  <c:v>консистенция</c:v>
                </c:pt>
              </c:strCache>
            </c:strRef>
          </c:cat>
          <c:val>
            <c:numRef>
              <c:f>0</c:f>
              <c:numCache>
                <c:formatCode>General</c:formatCode>
                <c:ptCount val="4"/>
                <c:pt idx="0">
                  <c:v>3</c:v>
                </c:pt>
                <c:pt idx="1">
                  <c:v>4</c:v>
                </c:pt>
                <c:pt idx="2">
                  <c:v>5</c:v>
                </c:pt>
                <c:pt idx="3">
                  <c:v>5</c:v>
                </c:pt>
              </c:numCache>
            </c:numRef>
          </c:val>
        </c:ser>
        <c:ser>
          <c:idx val="1"/>
          <c:order val="1"/>
          <c:tx>
            <c:strRef>
              <c:f>label 1</c:f>
              <c:strCache>
                <c:ptCount val="1"/>
                <c:pt idx="0">
                  <c:v>Образец 2</c:v>
                </c:pt>
              </c:strCache>
            </c:strRef>
          </c:tx>
          <c:spPr>
            <a:solidFill>
              <a:srgbClr val="c0504d"/>
            </a:solidFill>
            <a:ln cap="rnd" w="28440">
              <a:solidFill>
                <a:srgbClr val="c0504d"/>
              </a:solidFill>
              <a:round/>
            </a:ln>
          </c:spPr>
          <c:marker>
            <c:symbol val="none"/>
          </c:marker>
          <c:dLbls>
            <c:txPr>
              <a:bodyPr wrap="square"/>
              <a:lstStyle/>
              <a:p>
                <a:pPr>
                  <a:defRPr b="0" sz="1200" spc="-1" strike="noStrike">
                    <a:solidFill>
                      <a:srgbClr val="000000"/>
                    </a:solidFill>
                    <a:latin typeface="Times New Roman"/>
                  </a:defRPr>
                </a:pPr>
              </a:p>
            </c:txPr>
            <c:showLegendKey val="0"/>
            <c:showVal val="0"/>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4"/>
                <c:pt idx="0">
                  <c:v>вкус</c:v>
                </c:pt>
                <c:pt idx="1">
                  <c:v>запах</c:v>
                </c:pt>
                <c:pt idx="2">
                  <c:v>цвет</c:v>
                </c:pt>
                <c:pt idx="3">
                  <c:v>консистенция</c:v>
                </c:pt>
              </c:strCache>
            </c:strRef>
          </c:cat>
          <c:val>
            <c:numRef>
              <c:f>1</c:f>
              <c:numCache>
                <c:formatCode>General</c:formatCode>
                <c:ptCount val="4"/>
                <c:pt idx="0">
                  <c:v>5</c:v>
                </c:pt>
                <c:pt idx="1">
                  <c:v>5</c:v>
                </c:pt>
                <c:pt idx="2">
                  <c:v>5</c:v>
                </c:pt>
                <c:pt idx="3">
                  <c:v>5</c:v>
                </c:pt>
              </c:numCache>
            </c:numRef>
          </c:val>
        </c:ser>
        <c:ser>
          <c:idx val="2"/>
          <c:order val="2"/>
          <c:tx>
            <c:strRef>
              <c:f>label 2</c:f>
              <c:strCache>
                <c:ptCount val="1"/>
                <c:pt idx="0">
                  <c:v>Образец 3</c:v>
                </c:pt>
              </c:strCache>
            </c:strRef>
          </c:tx>
          <c:spPr>
            <a:solidFill>
              <a:srgbClr val="9bbb59"/>
            </a:solidFill>
            <a:ln cap="rnd" w="28440">
              <a:solidFill>
                <a:srgbClr val="9bbb59"/>
              </a:solidFill>
              <a:round/>
            </a:ln>
          </c:spPr>
          <c:marker>
            <c:symbol val="none"/>
          </c:marker>
          <c:dLbls>
            <c:txPr>
              <a:bodyPr wrap="square"/>
              <a:lstStyle/>
              <a:p>
                <a:pPr>
                  <a:defRPr b="0" sz="1200" spc="-1" strike="noStrike">
                    <a:solidFill>
                      <a:srgbClr val="000000"/>
                    </a:solidFill>
                    <a:latin typeface="Times New Roman"/>
                  </a:defRPr>
                </a:pPr>
              </a:p>
            </c:txPr>
            <c:showLegendKey val="0"/>
            <c:showVal val="0"/>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4"/>
                <c:pt idx="0">
                  <c:v>вкус</c:v>
                </c:pt>
                <c:pt idx="1">
                  <c:v>запах</c:v>
                </c:pt>
                <c:pt idx="2">
                  <c:v>цвет</c:v>
                </c:pt>
                <c:pt idx="3">
                  <c:v>консистенция</c:v>
                </c:pt>
              </c:strCache>
            </c:strRef>
          </c:cat>
          <c:val>
            <c:numRef>
              <c:f>2</c:f>
              <c:numCache>
                <c:formatCode>General</c:formatCode>
                <c:ptCount val="4"/>
                <c:pt idx="0">
                  <c:v>4</c:v>
                </c:pt>
                <c:pt idx="1">
                  <c:v>4</c:v>
                </c:pt>
                <c:pt idx="2">
                  <c:v>5</c:v>
                </c:pt>
                <c:pt idx="3">
                  <c:v>5</c:v>
                </c:pt>
              </c:numCache>
            </c:numRef>
          </c:val>
        </c:ser>
        <c:axId val="70778461"/>
        <c:axId val="27946067"/>
      </c:radarChart>
      <c:catAx>
        <c:axId val="70778461"/>
        <c:scaling>
          <c:orientation val="maxMin"/>
        </c:scaling>
        <c:delete val="0"/>
        <c:axPos val="b"/>
        <c:numFmt formatCode="General" sourceLinked="0"/>
        <c:majorTickMark val="none"/>
        <c:minorTickMark val="none"/>
        <c:tickLblPos val="nextTo"/>
        <c:spPr>
          <a:ln w="9360">
            <a:noFill/>
          </a:ln>
        </c:spPr>
        <c:txPr>
          <a:bodyPr/>
          <a:lstStyle/>
          <a:p>
            <a:pPr>
              <a:defRPr b="0" sz="1200" spc="-1" strike="noStrike">
                <a:solidFill>
                  <a:srgbClr val="000000"/>
                </a:solidFill>
                <a:latin typeface="Times New Roman"/>
              </a:defRPr>
            </a:pPr>
          </a:p>
        </c:txPr>
        <c:crossAx val="27946067"/>
        <c:crosses val="autoZero"/>
        <c:auto val="1"/>
        <c:lblAlgn val="ctr"/>
        <c:lblOffset val="100"/>
        <c:noMultiLvlLbl val="0"/>
      </c:catAx>
      <c:valAx>
        <c:axId val="27946067"/>
        <c:scaling>
          <c:orientation val="minMax"/>
        </c:scaling>
        <c:delete val="1"/>
        <c:axPos val="l"/>
        <c:majorGridlines>
          <c:spPr>
            <a:ln w="9360">
              <a:solidFill>
                <a:srgbClr val="d9d9d9"/>
              </a:solidFill>
              <a:round/>
            </a:ln>
          </c:spPr>
        </c:majorGridlines>
        <c:numFmt formatCode="General" sourceLinked="1"/>
        <c:majorTickMark val="none"/>
        <c:minorTickMark val="none"/>
        <c:tickLblPos val="none"/>
        <c:spPr>
          <a:ln w="9360">
            <a:solidFill>
              <a:srgbClr val="878787"/>
            </a:solidFill>
            <a:round/>
          </a:ln>
        </c:spPr>
        <c:txPr>
          <a:bodyPr/>
          <a:lstStyle/>
          <a:p>
            <a:pPr>
              <a:defRPr b="0" sz="1200" spc="-1" strike="noStrike">
                <a:solidFill>
                  <a:srgbClr val="000000"/>
                </a:solidFill>
                <a:latin typeface="Times New Roman"/>
              </a:defRPr>
            </a:pPr>
          </a:p>
        </c:txPr>
        <c:crossAx val="70778461"/>
        <c:crossBetween val="midCat"/>
      </c:valAx>
      <c:spPr>
        <a:noFill/>
        <a:ln w="0">
          <a:noFill/>
        </a:ln>
      </c:spPr>
    </c:plotArea>
    <c:legend>
      <c:legendPos val="l"/>
      <c:overlay val="0"/>
      <c:spPr>
        <a:noFill/>
        <a:ln w="0">
          <a:noFill/>
        </a:ln>
      </c:spPr>
      <c:txPr>
        <a:bodyPr/>
        <a:lstStyle/>
        <a:p>
          <a:pPr>
            <a:defRPr b="0" sz="1200" spc="-1" strike="noStrike">
              <a:solidFill>
                <a:srgbClr val="000000"/>
              </a:solidFill>
              <a:latin typeface="Times New Roman"/>
            </a:defRPr>
          </a:pPr>
        </a:p>
      </c:txPr>
    </c:legend>
    <c:plotVisOnly val="1"/>
    <c:dispBlanksAs val="gap"/>
  </c:chart>
  <c:spPr>
    <a:solidFill>
      <a:srgbClr val="ffffff"/>
    </a:solidFill>
    <a:ln w="9360">
      <a:solidFill>
        <a:srgbClr val="ffffff"/>
      </a:solidFill>
      <a:round/>
    </a:ln>
  </c:spPr>
</c:chartSpace>
</file>

<file path=word/charts/chart2.xml><?xml version="1.0" encoding="utf-8"?>
<c:chartSpace xmlns:c="http://schemas.openxmlformats.org/drawingml/2006/chart" xmlns:a="http://schemas.openxmlformats.org/drawingml/2006/main" xmlns:r="http://schemas.openxmlformats.org/officeDocument/2006/relationships">
  <c:lang val="en-US"/>
  <c:roundedCorners val="0"/>
  <c:chart>
    <c:autoTitleDeleted val="1"/>
    <c:plotArea>
      <c:barChart>
        <c:barDir val="col"/>
        <c:grouping val="clustered"/>
        <c:varyColors val="0"/>
        <c:ser>
          <c:idx val="0"/>
          <c:order val="0"/>
          <c:tx>
            <c:strRef>
              <c:f>label 0</c:f>
              <c:strCache>
                <c:ptCount val="1"/>
                <c:pt idx="0">
                  <c:v>Свежевыработанные</c:v>
                </c:pt>
              </c:strCache>
            </c:strRef>
          </c:tx>
          <c:spPr>
            <a:solidFill>
              <a:srgbClr val="fac090"/>
            </a:solidFill>
            <a:ln w="0">
              <a:noFill/>
            </a:ln>
          </c:spPr>
          <c:invertIfNegative val="0"/>
          <c:dLbls>
            <c:numFmt formatCode="General" sourceLinked="0"/>
            <c:txPr>
              <a:bodyPr wrap="square"/>
              <a:lstStyle/>
              <a:p>
                <a:pPr>
                  <a:defRPr b="0" sz="1100" spc="-1" strike="noStrike">
                    <a:solidFill>
                      <a:srgbClr val="000000"/>
                    </a:solidFill>
                    <a:latin typeface="Times New Roman"/>
                  </a:defRPr>
                </a:pPr>
              </a:p>
            </c:txPr>
            <c:dLblPos val="outEnd"/>
            <c:showLegendKey val="0"/>
            <c:showVal val="1"/>
            <c:showCatName val="0"/>
            <c:showSerName val="0"/>
            <c:showPercent val="0"/>
            <c:separator>; </c:separator>
            <c:showLeaderLines val="0"/>
            <c:extLst>
              <c:ext xmlns:c15="http://schemas.microsoft.com/office/drawing/2012/chart" uri="{CE6537A1-D6FC-4f65-9D91-7224C49458BB}">
                <c15:showLeaderLines val="0"/>
              </c:ext>
            </c:extLst>
          </c:dLbls>
          <c:cat>
            <c:strRef>
              <c:f>categories</c:f>
              <c:strCache>
                <c:ptCount val="3"/>
                <c:pt idx="0">
                  <c:v>Образец 1</c:v>
                </c:pt>
                <c:pt idx="1">
                  <c:v>Образец 2</c:v>
                </c:pt>
                <c:pt idx="2">
                  <c:v>Образец 3</c:v>
                </c:pt>
              </c:strCache>
            </c:strRef>
          </c:cat>
          <c:val>
            <c:numRef>
              <c:f>0</c:f>
              <c:numCache>
                <c:formatCode>General</c:formatCode>
                <c:ptCount val="3"/>
                <c:pt idx="0">
                  <c:v>6.5</c:v>
                </c:pt>
                <c:pt idx="1">
                  <c:v>6.5</c:v>
                </c:pt>
                <c:pt idx="2">
                  <c:v>6.6</c:v>
                </c:pt>
              </c:numCache>
            </c:numRef>
          </c:val>
        </c:ser>
        <c:ser>
          <c:idx val="1"/>
          <c:order val="1"/>
          <c:tx>
            <c:strRef>
              <c:f>label 1</c:f>
              <c:strCache>
                <c:ptCount val="1"/>
                <c:pt idx="0">
                  <c:v>В конце срока хранения</c:v>
                </c:pt>
              </c:strCache>
            </c:strRef>
          </c:tx>
          <c:spPr>
            <a:solidFill>
              <a:srgbClr val="d99694"/>
            </a:solidFill>
            <a:ln w="0">
              <a:noFill/>
            </a:ln>
          </c:spPr>
          <c:invertIfNegative val="0"/>
          <c:dLbls>
            <c:numFmt formatCode="General" sourceLinked="0"/>
            <c:txPr>
              <a:bodyPr wrap="square"/>
              <a:lstStyle/>
              <a:p>
                <a:pPr>
                  <a:defRPr b="0" sz="1100" spc="-1" strike="noStrike">
                    <a:solidFill>
                      <a:srgbClr val="000000"/>
                    </a:solidFill>
                    <a:latin typeface="Times New Roman"/>
                  </a:defRPr>
                </a:pPr>
              </a:p>
            </c:txPr>
            <c:dLblPos val="outEnd"/>
            <c:showLegendKey val="0"/>
            <c:showVal val="1"/>
            <c:showCatName val="0"/>
            <c:showSerName val="0"/>
            <c:showPercent val="0"/>
            <c:separator>; </c:separator>
            <c:showLeaderLines val="0"/>
            <c:extLst>
              <c:ext xmlns:c15="http://schemas.microsoft.com/office/drawing/2012/chart" uri="{CE6537A1-D6FC-4f65-9D91-7224C49458BB}">
                <c15:showLeaderLines val="0"/>
              </c:ext>
            </c:extLst>
          </c:dLbls>
          <c:cat>
            <c:strRef>
              <c:f>categories</c:f>
              <c:strCache>
                <c:ptCount val="3"/>
                <c:pt idx="0">
                  <c:v>Образец 1</c:v>
                </c:pt>
                <c:pt idx="1">
                  <c:v>Образец 2</c:v>
                </c:pt>
                <c:pt idx="2">
                  <c:v>Образец 3</c:v>
                </c:pt>
              </c:strCache>
            </c:strRef>
          </c:cat>
          <c:val>
            <c:numRef>
              <c:f>1</c:f>
              <c:numCache>
                <c:formatCode>General</c:formatCode>
                <c:ptCount val="3"/>
                <c:pt idx="0">
                  <c:v>5.7</c:v>
                </c:pt>
                <c:pt idx="1">
                  <c:v>5.9</c:v>
                </c:pt>
                <c:pt idx="2">
                  <c:v>6.1</c:v>
                </c:pt>
              </c:numCache>
            </c:numRef>
          </c:val>
        </c:ser>
        <c:gapWidth val="219"/>
        <c:overlap val="-27"/>
        <c:axId val="45786440"/>
        <c:axId val="89234299"/>
      </c:barChart>
      <c:catAx>
        <c:axId val="45786440"/>
        <c:scaling>
          <c:orientation val="minMax"/>
        </c:scaling>
        <c:delete val="0"/>
        <c:axPos val="b"/>
        <c:numFmt formatCode="General" sourceLinked="0"/>
        <c:majorTickMark val="none"/>
        <c:minorTickMark val="none"/>
        <c:tickLblPos val="nextTo"/>
        <c:spPr>
          <a:ln w="9360">
            <a:solidFill>
              <a:srgbClr val="d9d9d9"/>
            </a:solidFill>
            <a:round/>
          </a:ln>
        </c:spPr>
        <c:txPr>
          <a:bodyPr/>
          <a:lstStyle/>
          <a:p>
            <a:pPr>
              <a:defRPr b="0" sz="1100" spc="-1" strike="noStrike">
                <a:solidFill>
                  <a:srgbClr val="000000"/>
                </a:solidFill>
                <a:latin typeface="Times New Roman"/>
              </a:defRPr>
            </a:pPr>
          </a:p>
        </c:txPr>
        <c:crossAx val="89234299"/>
        <c:crosses val="autoZero"/>
        <c:auto val="1"/>
        <c:lblAlgn val="ctr"/>
        <c:lblOffset val="100"/>
        <c:noMultiLvlLbl val="0"/>
      </c:catAx>
      <c:valAx>
        <c:axId val="89234299"/>
        <c:scaling>
          <c:orientation val="minMax"/>
        </c:scaling>
        <c:delete val="0"/>
        <c:axPos val="l"/>
        <c:majorGridlines>
          <c:spPr>
            <a:ln w="9360">
              <a:solidFill>
                <a:srgbClr val="d9d9d9"/>
              </a:solidFill>
              <a:round/>
            </a:ln>
          </c:spPr>
        </c:majorGridlines>
        <c:title>
          <c:tx>
            <c:rich>
              <a:bodyPr rot="-5400000"/>
              <a:lstStyle/>
              <a:p>
                <a:pPr>
                  <a:defRPr b="1" lang="ru-RU" sz="1100" spc="-1" strike="noStrike">
                    <a:solidFill>
                      <a:srgbClr val="000000"/>
                    </a:solidFill>
                    <a:latin typeface="Times New Roman"/>
                  </a:defRPr>
                </a:pPr>
                <a:r>
                  <a:rPr b="1" lang="ru-RU" sz="1100" spc="-1" strike="noStrike">
                    <a:solidFill>
                      <a:srgbClr val="000000"/>
                    </a:solidFill>
                    <a:latin typeface="Times New Roman"/>
                  </a:rPr>
                  <a:t>Показатели pH</a:t>
                </a:r>
              </a:p>
            </c:rich>
          </c:tx>
          <c:overlay val="0"/>
          <c:spPr>
            <a:noFill/>
            <a:ln w="0">
              <a:noFill/>
            </a:ln>
          </c:spPr>
        </c:title>
        <c:numFmt formatCode="General" sourceLinked="0"/>
        <c:majorTickMark val="none"/>
        <c:minorTickMark val="none"/>
        <c:tickLblPos val="nextTo"/>
        <c:spPr>
          <a:ln w="9360">
            <a:noFill/>
          </a:ln>
        </c:spPr>
        <c:txPr>
          <a:bodyPr/>
          <a:lstStyle/>
          <a:p>
            <a:pPr>
              <a:defRPr b="0" sz="1100" spc="-1" strike="noStrike">
                <a:solidFill>
                  <a:srgbClr val="000000"/>
                </a:solidFill>
                <a:latin typeface="Times New Roman"/>
              </a:defRPr>
            </a:pPr>
          </a:p>
        </c:txPr>
        <c:crossAx val="45786440"/>
        <c:crosses val="autoZero"/>
        <c:crossBetween val="between"/>
      </c:valAx>
      <c:spPr>
        <a:noFill/>
        <a:ln w="0">
          <a:noFill/>
        </a:ln>
      </c:spPr>
    </c:plotArea>
    <c:legend>
      <c:legendPos val="b"/>
      <c:overlay val="0"/>
      <c:spPr>
        <a:noFill/>
        <a:ln w="0">
          <a:noFill/>
        </a:ln>
      </c:spPr>
      <c:txPr>
        <a:bodyPr/>
        <a:lstStyle/>
        <a:p>
          <a:pPr>
            <a:defRPr b="0" sz="1100" spc="-1" strike="noStrike">
              <a:solidFill>
                <a:srgbClr val="000000"/>
              </a:solidFill>
              <a:latin typeface="Times New Roman"/>
            </a:defRPr>
          </a:pPr>
        </a:p>
      </c:txPr>
    </c:legend>
    <c:plotVisOnly val="1"/>
    <c:dispBlanksAs val="gap"/>
  </c:chart>
  <c:spPr>
    <a:solidFill>
      <a:srgbClr val="ffffff"/>
    </a:solidFill>
    <a:ln w="9360">
      <a:solidFill>
        <a:srgbClr val="ffffff"/>
      </a:solidFill>
      <a:round/>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US"/>
  <c:roundedCorners val="0"/>
  <c:chart>
    <c:autoTitleDeleted val="1"/>
    <c:plotArea>
      <c:barChart>
        <c:barDir val="col"/>
        <c:grouping val="clustered"/>
        <c:varyColors val="0"/>
        <c:ser>
          <c:idx val="0"/>
          <c:order val="0"/>
          <c:tx>
            <c:strRef>
              <c:f>label 0</c:f>
              <c:strCache>
                <c:ptCount val="1"/>
                <c:pt idx="0">
                  <c:v>Свежевыработанный</c:v>
                </c:pt>
              </c:strCache>
            </c:strRef>
          </c:tx>
          <c:spPr>
            <a:solidFill>
              <a:srgbClr val="4f81bd"/>
            </a:solidFill>
            <a:ln w="0">
              <a:noFill/>
            </a:ln>
          </c:spPr>
          <c:invertIfNegative val="0"/>
          <c:dLbls>
            <c:numFmt formatCode="0.00" sourceLinked="0"/>
            <c:txPr>
              <a:bodyPr wrap="square"/>
              <a:lstStyle/>
              <a:p>
                <a:pPr>
                  <a:defRPr b="0" sz="1100" spc="-1" strike="noStrike">
                    <a:solidFill>
                      <a:srgbClr val="000000"/>
                    </a:solidFill>
                    <a:latin typeface="Times New Roman"/>
                  </a:defRPr>
                </a:pPr>
              </a:p>
            </c:txPr>
            <c:dLblPos val="outEnd"/>
            <c:showLegendKey val="0"/>
            <c:showVal val="1"/>
            <c:showCatName val="0"/>
            <c:showSerName val="0"/>
            <c:showPercent val="0"/>
            <c:separator>; </c:separator>
            <c:showLeaderLines val="0"/>
            <c:extLst>
              <c:ext xmlns:c15="http://schemas.microsoft.com/office/drawing/2012/chart" uri="{CE6537A1-D6FC-4f65-9D91-7224C49458BB}">
                <c15:showLeaderLines val="0"/>
              </c:ext>
            </c:extLst>
          </c:dLbls>
          <c:cat>
            <c:strRef>
              <c:f>categories</c:f>
              <c:strCache>
                <c:ptCount val="3"/>
                <c:pt idx="0">
                  <c:v>Образец 1</c:v>
                </c:pt>
                <c:pt idx="1">
                  <c:v>Образец 2</c:v>
                </c:pt>
                <c:pt idx="2">
                  <c:v>Образец 3</c:v>
                </c:pt>
              </c:strCache>
            </c:strRef>
          </c:cat>
          <c:val>
            <c:numRef>
              <c:f>0</c:f>
              <c:numCache>
                <c:formatCode>General</c:formatCode>
                <c:ptCount val="3"/>
                <c:pt idx="0">
                  <c:v>4.13149184</c:v>
                </c:pt>
                <c:pt idx="1">
                  <c:v>4.23018698666667</c:v>
                </c:pt>
                <c:pt idx="2">
                  <c:v>4.50504618666667</c:v>
                </c:pt>
              </c:numCache>
            </c:numRef>
          </c:val>
        </c:ser>
        <c:ser>
          <c:idx val="1"/>
          <c:order val="1"/>
          <c:tx>
            <c:strRef>
              <c:f>label 1</c:f>
              <c:strCache>
                <c:ptCount val="1"/>
                <c:pt idx="0">
                  <c:v>В конце хранения</c:v>
                </c:pt>
              </c:strCache>
            </c:strRef>
          </c:tx>
          <c:spPr>
            <a:solidFill>
              <a:srgbClr val="c0504d"/>
            </a:solidFill>
            <a:ln w="0">
              <a:noFill/>
            </a:ln>
          </c:spPr>
          <c:invertIfNegative val="0"/>
          <c:dLbls>
            <c:numFmt formatCode="0.00" sourceLinked="0"/>
            <c:txPr>
              <a:bodyPr wrap="square"/>
              <a:lstStyle/>
              <a:p>
                <a:pPr>
                  <a:defRPr b="0" sz="1100" spc="-1" strike="noStrike">
                    <a:solidFill>
                      <a:srgbClr val="000000"/>
                    </a:solidFill>
                    <a:latin typeface="Times New Roman"/>
                  </a:defRPr>
                </a:pPr>
              </a:p>
            </c:txPr>
            <c:dLblPos val="outEnd"/>
            <c:showLegendKey val="0"/>
            <c:showVal val="1"/>
            <c:showCatName val="0"/>
            <c:showSerName val="0"/>
            <c:showPercent val="0"/>
            <c:separator>; </c:separator>
            <c:showLeaderLines val="0"/>
            <c:extLst>
              <c:ext xmlns:c15="http://schemas.microsoft.com/office/drawing/2012/chart" uri="{CE6537A1-D6FC-4f65-9D91-7224C49458BB}">
                <c15:showLeaderLines val="0"/>
              </c:ext>
            </c:extLst>
          </c:dLbls>
          <c:cat>
            <c:strRef>
              <c:f>categories</c:f>
              <c:strCache>
                <c:ptCount val="3"/>
                <c:pt idx="0">
                  <c:v>Образец 1</c:v>
                </c:pt>
                <c:pt idx="1">
                  <c:v>Образец 2</c:v>
                </c:pt>
                <c:pt idx="2">
                  <c:v>Образец 3</c:v>
                </c:pt>
              </c:strCache>
            </c:strRef>
          </c:cat>
          <c:val>
            <c:numRef>
              <c:f>1</c:f>
              <c:numCache>
                <c:formatCode>General</c:formatCode>
                <c:ptCount val="3"/>
                <c:pt idx="0">
                  <c:v>4.31593343999999</c:v>
                </c:pt>
                <c:pt idx="1">
                  <c:v>4.43845658666667</c:v>
                </c:pt>
                <c:pt idx="2">
                  <c:v>4.83547829333334</c:v>
                </c:pt>
              </c:numCache>
            </c:numRef>
          </c:val>
        </c:ser>
        <c:gapWidth val="150"/>
        <c:overlap val="0"/>
        <c:axId val="22630624"/>
        <c:axId val="47351195"/>
      </c:barChart>
      <c:catAx>
        <c:axId val="22630624"/>
        <c:scaling>
          <c:orientation val="minMax"/>
        </c:scaling>
        <c:delete val="0"/>
        <c:axPos val="b"/>
        <c:numFmt formatCode="General" sourceLinked="0"/>
        <c:majorTickMark val="out"/>
        <c:minorTickMark val="none"/>
        <c:tickLblPos val="nextTo"/>
        <c:spPr>
          <a:ln w="9360">
            <a:solidFill>
              <a:srgbClr val="878787"/>
            </a:solidFill>
            <a:round/>
          </a:ln>
        </c:spPr>
        <c:txPr>
          <a:bodyPr/>
          <a:lstStyle/>
          <a:p>
            <a:pPr>
              <a:defRPr b="0" sz="1100" spc="-1" strike="noStrike">
                <a:solidFill>
                  <a:srgbClr val="000000"/>
                </a:solidFill>
                <a:latin typeface="Times New Roman"/>
              </a:defRPr>
            </a:pPr>
          </a:p>
        </c:txPr>
        <c:crossAx val="47351195"/>
        <c:crosses val="autoZero"/>
        <c:auto val="1"/>
        <c:lblAlgn val="ctr"/>
        <c:lblOffset val="100"/>
        <c:noMultiLvlLbl val="0"/>
      </c:catAx>
      <c:valAx>
        <c:axId val="47351195"/>
        <c:scaling>
          <c:orientation val="minMax"/>
        </c:scaling>
        <c:delete val="0"/>
        <c:axPos val="l"/>
        <c:majorGridlines>
          <c:spPr>
            <a:ln w="9360">
              <a:solidFill>
                <a:srgbClr val="878787"/>
              </a:solidFill>
              <a:round/>
            </a:ln>
          </c:spPr>
        </c:majorGridlines>
        <c:title>
          <c:tx>
            <c:rich>
              <a:bodyPr rot="-5400000"/>
              <a:lstStyle/>
              <a:p>
                <a:pPr>
                  <a:defRPr b="1" lang="ru-RU" sz="1100" spc="-1" strike="noStrike">
                    <a:solidFill>
                      <a:srgbClr val="000000"/>
                    </a:solidFill>
                    <a:latin typeface="Times New Roman"/>
                  </a:defRPr>
                </a:pPr>
                <a:r>
                  <a:rPr b="1" lang="ru-RU" sz="1100" spc="-1" strike="noStrike">
                    <a:solidFill>
                      <a:srgbClr val="000000"/>
                    </a:solidFill>
                    <a:latin typeface="Times New Roman"/>
                  </a:rPr>
                  <a:t>Вязкость, Па·с</a:t>
                </a:r>
              </a:p>
            </c:rich>
          </c:tx>
          <c:overlay val="0"/>
          <c:spPr>
            <a:noFill/>
            <a:ln w="0">
              <a:noFill/>
            </a:ln>
          </c:spPr>
        </c:title>
        <c:numFmt formatCode="0.00" sourceLinked="0"/>
        <c:majorTickMark val="out"/>
        <c:minorTickMark val="none"/>
        <c:tickLblPos val="nextTo"/>
        <c:spPr>
          <a:ln w="9360">
            <a:solidFill>
              <a:srgbClr val="878787"/>
            </a:solidFill>
            <a:round/>
          </a:ln>
        </c:spPr>
        <c:txPr>
          <a:bodyPr/>
          <a:lstStyle/>
          <a:p>
            <a:pPr>
              <a:defRPr b="0" sz="1100" spc="-1" strike="noStrike">
                <a:solidFill>
                  <a:srgbClr val="000000"/>
                </a:solidFill>
                <a:latin typeface="Times New Roman"/>
              </a:defRPr>
            </a:pPr>
          </a:p>
        </c:txPr>
        <c:crossAx val="22630624"/>
        <c:crosses val="autoZero"/>
        <c:crossBetween val="between"/>
      </c:valAx>
      <c:spPr>
        <a:noFill/>
        <a:ln w="0">
          <a:noFill/>
        </a:ln>
      </c:spPr>
    </c:plotArea>
    <c:legend>
      <c:legendPos val="b"/>
      <c:overlay val="0"/>
      <c:spPr>
        <a:noFill/>
        <a:ln w="0">
          <a:noFill/>
        </a:ln>
      </c:spPr>
      <c:txPr>
        <a:bodyPr/>
        <a:lstStyle/>
        <a:p>
          <a:pPr>
            <a:defRPr b="0" sz="1100" spc="-1" strike="noStrike">
              <a:solidFill>
                <a:srgbClr val="000000"/>
              </a:solidFill>
              <a:latin typeface="Times New Roman"/>
            </a:defRPr>
          </a:pPr>
        </a:p>
      </c:txPr>
    </c:legend>
    <c:plotVisOnly val="1"/>
    <c:dispBlanksAs val="gap"/>
  </c:chart>
  <c:spPr>
    <a:solidFill>
      <a:srgbClr val="ffffff"/>
    </a:solidFill>
    <a:ln w="9360">
      <a:solidFill>
        <a:srgbClr val="ffffff"/>
      </a:solidFill>
      <a:round/>
    </a:ln>
  </c:spPr>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Application>LibreOffice/7.2.5.2$Windows_x86 LibreOffice_project/499f9727c189e6ef3471021d6132d4c694f357e5</Application>
  <AppVersion>15.0000</AppVersion>
  <Pages>16</Pages>
  <Words>3263</Words>
  <Characters>22299</Characters>
  <CharactersWithSpaces>25434</CharactersWithSpaces>
  <Paragraphs>163</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2022-06-17T15:33:00Z</dcterms:created>
  <dc:creator>Alla</dc:creator>
  <dc:description/>
  <dc:language>ru-RU</dc:language>
  <cp:lastModifiedBy/>
  <cp:lastPrinted>2022-05-17T13:01:00Z</cp:lastPrinted>
  <dcterms:modified xsi:type="dcterms:W3CDTF">2022-10-31T08:06:35Z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